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0F21">
      <w:pPr>
        <w:jc w:val="center"/>
        <w:rPr>
          <w:rFonts w:ascii="宋体" w:hAnsi="宋体"/>
          <w:b/>
          <w:sz w:val="44"/>
          <w:szCs w:val="44"/>
        </w:rPr>
      </w:pPr>
    </w:p>
    <w:p w14:paraId="420404A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2025年政府预算公开补充资料</w:t>
      </w:r>
    </w:p>
    <w:p w14:paraId="11D06C5B">
      <w:pPr>
        <w:jc w:val="center"/>
        <w:rPr>
          <w:rFonts w:ascii="仿宋" w:hAnsi="仿宋" w:eastAsia="仿宋"/>
          <w:sz w:val="32"/>
          <w:szCs w:val="32"/>
        </w:rPr>
      </w:pPr>
    </w:p>
    <w:p w14:paraId="28CB2A6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一、税收返还和转移支付情况</w:t>
      </w:r>
    </w:p>
    <w:p w14:paraId="710C694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2025年一般公共预算收入预算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675</w:t>
      </w:r>
      <w:r>
        <w:rPr>
          <w:rFonts w:hint="eastAsia" w:ascii="仿宋" w:hAnsi="仿宋" w:eastAsia="仿宋"/>
          <w:b/>
          <w:bCs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，转移性收入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2970万元</w:t>
      </w:r>
      <w:r>
        <w:rPr>
          <w:rFonts w:hint="eastAsia" w:ascii="仿宋" w:hAnsi="仿宋" w:eastAsia="仿宋"/>
          <w:sz w:val="32"/>
          <w:szCs w:val="32"/>
        </w:rPr>
        <w:t>。其中上级补助收入0万元，包括返还性收入0万元，一般性转移支付收入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1107万元</w:t>
      </w:r>
      <w:r>
        <w:rPr>
          <w:rFonts w:hint="eastAsia" w:ascii="仿宋" w:hAnsi="仿宋" w:eastAsia="仿宋"/>
          <w:sz w:val="32"/>
          <w:szCs w:val="32"/>
        </w:rPr>
        <w:t>，专项转移支付收入0万元；债券转贷收入0万元；上年结余收入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1863万元</w:t>
      </w:r>
      <w:r>
        <w:rPr>
          <w:rFonts w:hint="eastAsia" w:ascii="仿宋" w:hAnsi="仿宋" w:eastAsia="仿宋"/>
          <w:sz w:val="32"/>
          <w:szCs w:val="32"/>
        </w:rPr>
        <w:t>；调入资金0万元；动用预算稳定调节基金0万元；</w:t>
      </w:r>
      <w:r>
        <w:rPr>
          <w:rFonts w:hint="eastAsia" w:ascii="微软雅黑" w:hAnsi="微软雅黑" w:eastAsia="微软雅黑" w:cs="宋体"/>
          <w:sz w:val="30"/>
          <w:szCs w:val="30"/>
        </w:rPr>
        <w:t>国有资本经营转移支付0万元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BA8F09A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2025年一般公共预算支出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1755万元</w:t>
      </w:r>
      <w:r>
        <w:rPr>
          <w:rFonts w:hint="eastAsia" w:ascii="仿宋" w:hAnsi="仿宋" w:eastAsia="仿宋"/>
          <w:sz w:val="32"/>
          <w:szCs w:val="32"/>
        </w:rPr>
        <w:t>，主要用于人员工</w:t>
      </w:r>
      <w:r>
        <w:rPr>
          <w:rFonts w:hint="eastAsia" w:ascii="宋体" w:hAnsi="宋体" w:cs="宋体"/>
          <w:sz w:val="32"/>
          <w:szCs w:val="32"/>
        </w:rPr>
        <w:t>资、维持正常运转，基础设施、教育、卫生、民生等方面。</w:t>
      </w:r>
      <w:bookmarkStart w:id="0" w:name="_GoBack"/>
      <w:r>
        <w:rPr>
          <w:rFonts w:hint="eastAsia" w:ascii="宋体" w:hAnsi="宋体" w:cs="宋体"/>
          <w:sz w:val="32"/>
          <w:szCs w:val="32"/>
        </w:rPr>
        <w:t>上解上级支出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32"/>
          <w:szCs w:val="32"/>
        </w:rPr>
        <w:t>万元</w:t>
      </w:r>
      <w:r>
        <w:rPr>
          <w:rFonts w:hint="eastAsia" w:ascii="宋体" w:hAnsi="宋体" w:cs="宋体"/>
          <w:sz w:val="32"/>
          <w:szCs w:val="32"/>
        </w:rPr>
        <w:t>，一般公共预算年终结余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1863</w:t>
      </w:r>
      <w:r>
        <w:rPr>
          <w:rFonts w:hint="eastAsia" w:ascii="宋体" w:hAnsi="宋体" w:cs="宋体"/>
          <w:b/>
          <w:bCs/>
          <w:sz w:val="32"/>
          <w:szCs w:val="32"/>
        </w:rPr>
        <w:t>万元</w:t>
      </w:r>
      <w:bookmarkEnd w:id="0"/>
      <w:r>
        <w:rPr>
          <w:rFonts w:hint="eastAsia" w:ascii="宋体" w:hAnsi="宋体" w:cs="宋体"/>
          <w:sz w:val="32"/>
          <w:szCs w:val="32"/>
        </w:rPr>
        <w:t>，地方政府债券还本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万元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487B25C1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二、三公经费情况</w:t>
      </w:r>
    </w:p>
    <w:p w14:paraId="1B96B6ED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各部门2025年“三公”经费预算总额为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56万元</w:t>
      </w:r>
      <w:r>
        <w:rPr>
          <w:rFonts w:hint="eastAsia" w:ascii="宋体" w:hAnsi="宋体" w:cs="宋体"/>
          <w:sz w:val="32"/>
          <w:szCs w:val="32"/>
        </w:rPr>
        <w:t>，比去年减少2.90万元，下降4.92%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 w14:paraId="702D42B6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因公出国（境）经费0万元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cs="宋体"/>
          <w:sz w:val="32"/>
          <w:szCs w:val="32"/>
        </w:rPr>
        <w:t>公务接待费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49万元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</w:rPr>
        <w:t>预算数与2024年持平，无增减变动。公车购置和运行费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7万元</w:t>
      </w:r>
      <w:r>
        <w:rPr>
          <w:rFonts w:hint="eastAsia" w:ascii="宋体" w:hAnsi="宋体" w:cs="宋体"/>
          <w:sz w:val="32"/>
          <w:szCs w:val="32"/>
        </w:rPr>
        <w:t>，其中公车购置为0万元，比去年持平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cs="宋体"/>
          <w:sz w:val="32"/>
          <w:szCs w:val="32"/>
        </w:rPr>
        <w:t>公车运行维护费为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</w:rPr>
        <w:t>万元</w:t>
      </w:r>
      <w:r>
        <w:rPr>
          <w:rFonts w:hint="eastAsia" w:ascii="宋体" w:hAnsi="宋体" w:cs="宋体"/>
          <w:sz w:val="32"/>
          <w:szCs w:val="32"/>
        </w:rPr>
        <w:t>，比去年减少2.90万元，下降29.29%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 w14:paraId="1AC98F03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三、2024年度举借政府债务情况</w:t>
      </w:r>
    </w:p>
    <w:p w14:paraId="48A1E5B4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2024年无新增债券，2024年一般债券还本0万元，付息0万元，2025年还本0万元，付息0万元 ；2024年专项债券还本0万元，付息0万元，2025年还本0万元，付息0万元。</w:t>
      </w:r>
    </w:p>
    <w:p w14:paraId="79149259"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四、国有资本经营转移支付</w:t>
      </w:r>
    </w:p>
    <w:p w14:paraId="4E01503D">
      <w:pPr>
        <w:ind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宛城区国有资本经营转移支付资金0万元。</w:t>
      </w:r>
    </w:p>
    <w:p w14:paraId="29A64A71">
      <w:pPr>
        <w:ind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五、绩效开展情况</w:t>
      </w:r>
    </w:p>
    <w:p w14:paraId="7418D953">
      <w:pPr>
        <w:ind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单位2025年预算项目均按要求编制了绩效目标，从项目产出、项目效益、满意度等方面设置了绩效指标，综合反映项目预期完成的数量、实效、质量，预期达到的社会经济效益、可持续影响以及服务对象满意度等情况。</w:t>
      </w:r>
    </w:p>
    <w:p w14:paraId="56FD4B2B">
      <w:pPr>
        <w:ind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单位设定了整体绩效目标，一级指标包括投入管理指标、产出指标和效益指标。投入管理指标的二级指标包括工作目标管理、预算和财务管理、绩效管理；产出指标的二级指标包括重点工作任务完成、履职目标实现；效益指标的二级指标包括履职效益和满意度等。每个二级指标包括若干个三级指标，每个三级指标都有相应的指标值和指标值说明。整体绩效全面反映了年度主要工作任务和主要内容、预期绩效情况。</w:t>
      </w:r>
    </w:p>
    <w:p w14:paraId="38FC14FA">
      <w:pPr>
        <w:ind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本单位无重点项目</w:t>
      </w:r>
    </w:p>
    <w:p w14:paraId="30F20F38">
      <w:pPr>
        <w:ind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附件：2025年政府预算公开补充资料附表</w:t>
      </w:r>
    </w:p>
    <w:p w14:paraId="70621FA2">
      <w:pPr>
        <w:ind w:firstLine="480" w:firstLineChars="150"/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YWJmZThhMWVmODQ3MDMyYTg5NmY1NTRkZGVmNjgifQ=="/>
  </w:docVars>
  <w:rsids>
    <w:rsidRoot w:val="00156F90"/>
    <w:rsid w:val="000004D5"/>
    <w:rsid w:val="00010184"/>
    <w:rsid w:val="0001324E"/>
    <w:rsid w:val="00025F9F"/>
    <w:rsid w:val="000261AE"/>
    <w:rsid w:val="00032108"/>
    <w:rsid w:val="000339BE"/>
    <w:rsid w:val="0004371C"/>
    <w:rsid w:val="0004608B"/>
    <w:rsid w:val="00047165"/>
    <w:rsid w:val="0006213D"/>
    <w:rsid w:val="00082C1C"/>
    <w:rsid w:val="0008547F"/>
    <w:rsid w:val="000A3518"/>
    <w:rsid w:val="000B10DB"/>
    <w:rsid w:val="000B5FAA"/>
    <w:rsid w:val="000B7080"/>
    <w:rsid w:val="000C0AD3"/>
    <w:rsid w:val="000C4B2E"/>
    <w:rsid w:val="000E40F7"/>
    <w:rsid w:val="001013F2"/>
    <w:rsid w:val="00112BA3"/>
    <w:rsid w:val="00132A35"/>
    <w:rsid w:val="00141F67"/>
    <w:rsid w:val="00147D16"/>
    <w:rsid w:val="00150680"/>
    <w:rsid w:val="00156F90"/>
    <w:rsid w:val="00157093"/>
    <w:rsid w:val="00164A64"/>
    <w:rsid w:val="00166F25"/>
    <w:rsid w:val="0017104E"/>
    <w:rsid w:val="00181CC6"/>
    <w:rsid w:val="00190C03"/>
    <w:rsid w:val="001E798B"/>
    <w:rsid w:val="002009BD"/>
    <w:rsid w:val="0020750D"/>
    <w:rsid w:val="002079EF"/>
    <w:rsid w:val="00215094"/>
    <w:rsid w:val="002161C0"/>
    <w:rsid w:val="00224F6F"/>
    <w:rsid w:val="002273DB"/>
    <w:rsid w:val="00230A14"/>
    <w:rsid w:val="00245016"/>
    <w:rsid w:val="00285C05"/>
    <w:rsid w:val="002905DA"/>
    <w:rsid w:val="00295A90"/>
    <w:rsid w:val="002B13D7"/>
    <w:rsid w:val="002C1025"/>
    <w:rsid w:val="002F6C37"/>
    <w:rsid w:val="0032536A"/>
    <w:rsid w:val="003367E5"/>
    <w:rsid w:val="0034636B"/>
    <w:rsid w:val="00362E7B"/>
    <w:rsid w:val="00374F4A"/>
    <w:rsid w:val="0039486D"/>
    <w:rsid w:val="00394E65"/>
    <w:rsid w:val="003A76FB"/>
    <w:rsid w:val="003D3B7E"/>
    <w:rsid w:val="003E4C51"/>
    <w:rsid w:val="00403F39"/>
    <w:rsid w:val="004057A9"/>
    <w:rsid w:val="00407459"/>
    <w:rsid w:val="0042161E"/>
    <w:rsid w:val="00421CB6"/>
    <w:rsid w:val="00425B17"/>
    <w:rsid w:val="004311B1"/>
    <w:rsid w:val="00476863"/>
    <w:rsid w:val="00487502"/>
    <w:rsid w:val="004A2F17"/>
    <w:rsid w:val="004A546A"/>
    <w:rsid w:val="004D15E2"/>
    <w:rsid w:val="004D5CA6"/>
    <w:rsid w:val="004E4639"/>
    <w:rsid w:val="004E4DFA"/>
    <w:rsid w:val="004F2C7E"/>
    <w:rsid w:val="00501973"/>
    <w:rsid w:val="005326DB"/>
    <w:rsid w:val="00536FFE"/>
    <w:rsid w:val="005544EA"/>
    <w:rsid w:val="00556329"/>
    <w:rsid w:val="00560162"/>
    <w:rsid w:val="00562F66"/>
    <w:rsid w:val="00591ED6"/>
    <w:rsid w:val="005B5A15"/>
    <w:rsid w:val="005E0798"/>
    <w:rsid w:val="005E2252"/>
    <w:rsid w:val="005E341A"/>
    <w:rsid w:val="005F3FC3"/>
    <w:rsid w:val="005F5579"/>
    <w:rsid w:val="00605C24"/>
    <w:rsid w:val="00624B3E"/>
    <w:rsid w:val="00647D9C"/>
    <w:rsid w:val="00651C54"/>
    <w:rsid w:val="0065387C"/>
    <w:rsid w:val="006712FF"/>
    <w:rsid w:val="00673F00"/>
    <w:rsid w:val="0069328D"/>
    <w:rsid w:val="00697528"/>
    <w:rsid w:val="006B474E"/>
    <w:rsid w:val="006B51AD"/>
    <w:rsid w:val="006D4453"/>
    <w:rsid w:val="006F4BFD"/>
    <w:rsid w:val="006F69FF"/>
    <w:rsid w:val="0070345C"/>
    <w:rsid w:val="007063F4"/>
    <w:rsid w:val="007447F6"/>
    <w:rsid w:val="0075062F"/>
    <w:rsid w:val="0075320B"/>
    <w:rsid w:val="00777B10"/>
    <w:rsid w:val="00781764"/>
    <w:rsid w:val="007851CB"/>
    <w:rsid w:val="00791B55"/>
    <w:rsid w:val="007B17EE"/>
    <w:rsid w:val="007B38FA"/>
    <w:rsid w:val="007D1B87"/>
    <w:rsid w:val="007E3A72"/>
    <w:rsid w:val="00823E42"/>
    <w:rsid w:val="00827DD8"/>
    <w:rsid w:val="00833379"/>
    <w:rsid w:val="00836D95"/>
    <w:rsid w:val="008878FD"/>
    <w:rsid w:val="00892542"/>
    <w:rsid w:val="008A1AD9"/>
    <w:rsid w:val="008A7A7D"/>
    <w:rsid w:val="008B6EE4"/>
    <w:rsid w:val="008B6F61"/>
    <w:rsid w:val="008C4ACC"/>
    <w:rsid w:val="008F283B"/>
    <w:rsid w:val="008F3BCE"/>
    <w:rsid w:val="008F7F16"/>
    <w:rsid w:val="00901359"/>
    <w:rsid w:val="009324B1"/>
    <w:rsid w:val="00946728"/>
    <w:rsid w:val="009506CF"/>
    <w:rsid w:val="00952BFB"/>
    <w:rsid w:val="00960AA5"/>
    <w:rsid w:val="0096445B"/>
    <w:rsid w:val="00993BBB"/>
    <w:rsid w:val="009A57B3"/>
    <w:rsid w:val="009B18EC"/>
    <w:rsid w:val="009B755B"/>
    <w:rsid w:val="009C6D14"/>
    <w:rsid w:val="009D607D"/>
    <w:rsid w:val="009E4EFC"/>
    <w:rsid w:val="009E7233"/>
    <w:rsid w:val="00A06642"/>
    <w:rsid w:val="00A173F6"/>
    <w:rsid w:val="00A246FA"/>
    <w:rsid w:val="00A34055"/>
    <w:rsid w:val="00A37C95"/>
    <w:rsid w:val="00A455A5"/>
    <w:rsid w:val="00A4617E"/>
    <w:rsid w:val="00A62BF9"/>
    <w:rsid w:val="00A972E5"/>
    <w:rsid w:val="00AA033A"/>
    <w:rsid w:val="00AA0C2D"/>
    <w:rsid w:val="00AC5839"/>
    <w:rsid w:val="00AD2448"/>
    <w:rsid w:val="00AF1F30"/>
    <w:rsid w:val="00AF3B7E"/>
    <w:rsid w:val="00AF6268"/>
    <w:rsid w:val="00AF724E"/>
    <w:rsid w:val="00B07FE0"/>
    <w:rsid w:val="00B13704"/>
    <w:rsid w:val="00B41954"/>
    <w:rsid w:val="00B5025C"/>
    <w:rsid w:val="00B5371F"/>
    <w:rsid w:val="00B5579D"/>
    <w:rsid w:val="00B5583E"/>
    <w:rsid w:val="00B55973"/>
    <w:rsid w:val="00B82DD2"/>
    <w:rsid w:val="00B85873"/>
    <w:rsid w:val="00B9683D"/>
    <w:rsid w:val="00BA14F6"/>
    <w:rsid w:val="00BB0D5B"/>
    <w:rsid w:val="00BB4C0D"/>
    <w:rsid w:val="00BB6FE0"/>
    <w:rsid w:val="00BC539F"/>
    <w:rsid w:val="00BD6089"/>
    <w:rsid w:val="00BE0FD7"/>
    <w:rsid w:val="00BE4444"/>
    <w:rsid w:val="00BE46BF"/>
    <w:rsid w:val="00BE6DA0"/>
    <w:rsid w:val="00BF5DA1"/>
    <w:rsid w:val="00C018FE"/>
    <w:rsid w:val="00C030BB"/>
    <w:rsid w:val="00C05CA8"/>
    <w:rsid w:val="00C31711"/>
    <w:rsid w:val="00C4147D"/>
    <w:rsid w:val="00C45174"/>
    <w:rsid w:val="00C45E34"/>
    <w:rsid w:val="00C61561"/>
    <w:rsid w:val="00C66F37"/>
    <w:rsid w:val="00C72AEC"/>
    <w:rsid w:val="00C77FE9"/>
    <w:rsid w:val="00C8272B"/>
    <w:rsid w:val="00C85861"/>
    <w:rsid w:val="00CA144C"/>
    <w:rsid w:val="00CA42FB"/>
    <w:rsid w:val="00CB5549"/>
    <w:rsid w:val="00CC028D"/>
    <w:rsid w:val="00CC328B"/>
    <w:rsid w:val="00CD2F7C"/>
    <w:rsid w:val="00CD6580"/>
    <w:rsid w:val="00CE3F17"/>
    <w:rsid w:val="00CF3A3C"/>
    <w:rsid w:val="00CF597F"/>
    <w:rsid w:val="00D01300"/>
    <w:rsid w:val="00D04F68"/>
    <w:rsid w:val="00D07514"/>
    <w:rsid w:val="00D20FC5"/>
    <w:rsid w:val="00D214DA"/>
    <w:rsid w:val="00D21E6C"/>
    <w:rsid w:val="00D24128"/>
    <w:rsid w:val="00D315E5"/>
    <w:rsid w:val="00D41DA9"/>
    <w:rsid w:val="00D637C3"/>
    <w:rsid w:val="00D67073"/>
    <w:rsid w:val="00D7137C"/>
    <w:rsid w:val="00D74E72"/>
    <w:rsid w:val="00D77C53"/>
    <w:rsid w:val="00D97882"/>
    <w:rsid w:val="00DA4A6D"/>
    <w:rsid w:val="00DA72D2"/>
    <w:rsid w:val="00DB0099"/>
    <w:rsid w:val="00DE7041"/>
    <w:rsid w:val="00DF1E68"/>
    <w:rsid w:val="00DF58C4"/>
    <w:rsid w:val="00E051DE"/>
    <w:rsid w:val="00E22273"/>
    <w:rsid w:val="00E25A63"/>
    <w:rsid w:val="00E37EF8"/>
    <w:rsid w:val="00E4652D"/>
    <w:rsid w:val="00E51D3F"/>
    <w:rsid w:val="00E56B41"/>
    <w:rsid w:val="00E676B8"/>
    <w:rsid w:val="00E958A3"/>
    <w:rsid w:val="00EE33A8"/>
    <w:rsid w:val="00F1617D"/>
    <w:rsid w:val="00F1742B"/>
    <w:rsid w:val="00F207A8"/>
    <w:rsid w:val="00F27EF7"/>
    <w:rsid w:val="00F3525E"/>
    <w:rsid w:val="00F363A0"/>
    <w:rsid w:val="00F63ED2"/>
    <w:rsid w:val="00F66862"/>
    <w:rsid w:val="00F90A01"/>
    <w:rsid w:val="00FA023A"/>
    <w:rsid w:val="00FA5BD6"/>
    <w:rsid w:val="00FB4BDC"/>
    <w:rsid w:val="00FC1114"/>
    <w:rsid w:val="00FC50AD"/>
    <w:rsid w:val="00FC6BB3"/>
    <w:rsid w:val="00FD3696"/>
    <w:rsid w:val="00FD6573"/>
    <w:rsid w:val="0F166F5F"/>
    <w:rsid w:val="0F5B14BB"/>
    <w:rsid w:val="12C92F57"/>
    <w:rsid w:val="197A1157"/>
    <w:rsid w:val="29990DA5"/>
    <w:rsid w:val="2E9C1C23"/>
    <w:rsid w:val="4DBB157E"/>
    <w:rsid w:val="4DDF23A8"/>
    <w:rsid w:val="563D21AA"/>
    <w:rsid w:val="61775921"/>
    <w:rsid w:val="63E46621"/>
    <w:rsid w:val="6B5B7789"/>
    <w:rsid w:val="6B982E37"/>
    <w:rsid w:val="6F9E5058"/>
    <w:rsid w:val="74792E3C"/>
    <w:rsid w:val="783D6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800080" w:themeColor="followedHyperlink"/>
      <w:u w:val="single"/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798</Words>
  <Characters>871</Characters>
  <Lines>5</Lines>
  <Paragraphs>1</Paragraphs>
  <TotalTime>529</TotalTime>
  <ScaleCrop>false</ScaleCrop>
  <LinksUpToDate>false</LinksUpToDate>
  <CharactersWithSpaces>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2019-10-31T07:21:00Z</dcterms:created>
  <dc:creator>sun</dc:creator>
  <cp:lastModifiedBy>太空步</cp:lastModifiedBy>
  <cp:lastPrinted>2017-04-14T06:59:00Z</cp:lastPrinted>
  <dcterms:modified xsi:type="dcterms:W3CDTF">2025-04-15T09:03:40Z</dcterms:modified>
  <dc:title>2016年度举借政府债务情况说明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3D0A736D58B34229AC88D914F8F54243_12</vt:lpwstr>
  </property>
  <property fmtid="{D5CDD505-2E9C-101B-9397-08002B2CF9AE}" pid="4" name="KSOTemplateDocerSaveRecord">
    <vt:lpwstr>eyJoZGlkIjoiMWFkZjcwMjQ2MDExYzMxZjY2ZTQ4MzY5ODlmNjBiMjEiLCJ1c2VySWQiOiIzMzU3Njg0OTcifQ==</vt:lpwstr>
  </property>
</Properties>
</file>