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16CA8">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黑体" w:hAnsi="黑体" w:eastAsia="黑体" w:cs="仿宋"/>
          <w:sz w:val="32"/>
          <w:szCs w:val="32"/>
        </w:rPr>
      </w:pPr>
    </w:p>
    <w:p w14:paraId="79C36550">
      <w:pPr>
        <w:keepNext w:val="0"/>
        <w:keepLines w:val="0"/>
        <w:pageBreakBefore w:val="0"/>
        <w:widowControl w:val="0"/>
        <w:kinsoku/>
        <w:wordWrap/>
        <w:overflowPunct/>
        <w:topLinePunct w:val="0"/>
        <w:autoSpaceDE w:val="0"/>
        <w:autoSpaceDN w:val="0"/>
        <w:bidi w:val="0"/>
        <w:adjustRightInd/>
        <w:snapToGrid/>
        <w:spacing w:line="720" w:lineRule="exact"/>
        <w:jc w:val="center"/>
        <w:textAlignment w:val="auto"/>
        <w:rPr>
          <w:rFonts w:hint="default" w:ascii="方正小标宋简体" w:hAnsi="方正粗黑宋简体" w:eastAsia="方正小标宋简体" w:cs="仿宋"/>
          <w:sz w:val="44"/>
          <w:szCs w:val="44"/>
          <w:lang w:val="en-US" w:eastAsia="zh-CN"/>
        </w:rPr>
      </w:pPr>
      <w:r>
        <w:rPr>
          <w:rFonts w:hint="eastAsia" w:ascii="方正小标宋简体" w:hAnsi="方正粗黑宋简体" w:eastAsia="方正小标宋简体" w:cs="仿宋"/>
          <w:sz w:val="44"/>
          <w:szCs w:val="44"/>
          <w:lang w:val="en-US" w:eastAsia="zh-CN"/>
        </w:rPr>
        <w:t>仲景街道党工委</w:t>
      </w:r>
    </w:p>
    <w:p w14:paraId="2844CA66">
      <w:pPr>
        <w:keepNext w:val="0"/>
        <w:keepLines w:val="0"/>
        <w:pageBreakBefore w:val="0"/>
        <w:widowControl w:val="0"/>
        <w:kinsoku/>
        <w:wordWrap/>
        <w:overflowPunct/>
        <w:topLinePunct w:val="0"/>
        <w:autoSpaceDE w:val="0"/>
        <w:autoSpaceDN w:val="0"/>
        <w:bidi w:val="0"/>
        <w:adjustRightInd/>
        <w:snapToGrid/>
        <w:spacing w:line="720" w:lineRule="exact"/>
        <w:jc w:val="center"/>
        <w:textAlignment w:val="auto"/>
        <w:rPr>
          <w:rFonts w:ascii="方正小标宋简体" w:hAnsi="方正粗黑宋简体" w:eastAsia="方正小标宋简体" w:cs="仿宋"/>
          <w:sz w:val="44"/>
          <w:szCs w:val="44"/>
        </w:rPr>
      </w:pPr>
      <w:r>
        <w:rPr>
          <w:rFonts w:hint="eastAsia" w:ascii="方正小标宋简体" w:hAnsi="方正粗黑宋简体" w:eastAsia="方正小标宋简体" w:cs="仿宋"/>
          <w:sz w:val="44"/>
          <w:szCs w:val="44"/>
        </w:rPr>
        <w:t>关于巡察整改进展情况的通报</w:t>
      </w:r>
    </w:p>
    <w:p w14:paraId="0575C6F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仿宋" w:hAnsi="仿宋" w:eastAsia="仿宋" w:cs="仿宋"/>
          <w:sz w:val="44"/>
          <w:szCs w:val="44"/>
        </w:rPr>
      </w:pPr>
    </w:p>
    <w:p w14:paraId="521EFFF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根据</w:t>
      </w:r>
      <w:r>
        <w:rPr>
          <w:rFonts w:hint="eastAsia" w:ascii="仿宋_GB2312" w:hAnsi="仿宋" w:eastAsia="仿宋_GB2312" w:cs="仿宋"/>
          <w:sz w:val="32"/>
          <w:szCs w:val="32"/>
          <w:lang w:val="en-US" w:eastAsia="zh-CN"/>
        </w:rPr>
        <w:t>区</w:t>
      </w:r>
      <w:r>
        <w:rPr>
          <w:rFonts w:hint="eastAsia" w:ascii="仿宋_GB2312" w:hAnsi="仿宋" w:eastAsia="仿宋_GB2312" w:cs="仿宋"/>
          <w:sz w:val="32"/>
          <w:szCs w:val="32"/>
        </w:rPr>
        <w:t>委统一部署，2025年3月17日至5月9日，</w:t>
      </w:r>
      <w:r>
        <w:rPr>
          <w:rFonts w:hint="eastAsia" w:ascii="仿宋_GB2312" w:hAnsi="仿宋" w:eastAsia="仿宋_GB2312" w:cs="仿宋"/>
          <w:sz w:val="32"/>
          <w:szCs w:val="32"/>
          <w:lang w:val="en-US" w:eastAsia="zh-CN"/>
        </w:rPr>
        <w:t>区</w:t>
      </w:r>
      <w:r>
        <w:rPr>
          <w:rFonts w:hint="eastAsia" w:ascii="仿宋_GB2312" w:hAnsi="仿宋" w:eastAsia="仿宋_GB2312" w:cs="仿宋"/>
          <w:sz w:val="32"/>
          <w:szCs w:val="32"/>
        </w:rPr>
        <w:t>委第</w:t>
      </w:r>
      <w:r>
        <w:rPr>
          <w:rFonts w:hint="eastAsia" w:ascii="仿宋_GB2312" w:hAnsi="仿宋" w:eastAsia="仿宋_GB2312" w:cs="仿宋"/>
          <w:sz w:val="32"/>
          <w:szCs w:val="32"/>
          <w:lang w:val="en-US" w:eastAsia="zh-CN"/>
        </w:rPr>
        <w:t>二</w:t>
      </w:r>
      <w:r>
        <w:rPr>
          <w:rFonts w:hint="eastAsia" w:ascii="仿宋_GB2312" w:hAnsi="仿宋" w:eastAsia="仿宋_GB2312" w:cs="仿宋"/>
          <w:sz w:val="32"/>
          <w:szCs w:val="32"/>
        </w:rPr>
        <w:t>巡察组对仲景街道党</w:t>
      </w:r>
      <w:r>
        <w:rPr>
          <w:rFonts w:hint="eastAsia" w:ascii="仿宋_GB2312" w:hAnsi="仿宋" w:eastAsia="仿宋_GB2312" w:cs="仿宋"/>
          <w:sz w:val="32"/>
          <w:szCs w:val="32"/>
          <w:lang w:val="en-US" w:eastAsia="zh-CN"/>
        </w:rPr>
        <w:t>工</w:t>
      </w:r>
      <w:r>
        <w:rPr>
          <w:rFonts w:hint="eastAsia" w:ascii="仿宋_GB2312" w:hAnsi="仿宋" w:eastAsia="仿宋_GB2312" w:cs="仿宋"/>
          <w:sz w:val="32"/>
          <w:szCs w:val="32"/>
        </w:rPr>
        <w:t>委进行了巡察。</w:t>
      </w:r>
      <w:r>
        <w:rPr>
          <w:rFonts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日，巡察组向仲景街道党工委反馈了巡察意见。根据《中国共产党巡视工作条例》《中国共产党党内监督条例》等有关规定，现将巡察整改进展情况予以公布。</w:t>
      </w:r>
    </w:p>
    <w:p w14:paraId="76975FBB">
      <w:pPr>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总体情况</w:t>
      </w:r>
    </w:p>
    <w:p w14:paraId="33B533EF">
      <w:pPr>
        <w:pStyle w:val="5"/>
        <w:keepNext w:val="0"/>
        <w:keepLines w:val="0"/>
        <w:pageBreakBefore w:val="0"/>
        <w:widowControl w:val="0"/>
        <w:kinsoku/>
        <w:wordWrap/>
        <w:overflowPunct/>
        <w:topLinePunct w:val="0"/>
        <w:autoSpaceDE w:val="0"/>
        <w:autoSpaceDN w:val="0"/>
        <w:bidi w:val="0"/>
        <w:adjustRightInd/>
        <w:snapToGrid/>
        <w:spacing w:line="560" w:lineRule="exact"/>
        <w:textAlignment w:val="auto"/>
      </w:pPr>
      <w:r>
        <w:t>街道党工委以“三到位三落实三促进”为有力抓手，提升巡察整改工作质效。</w:t>
      </w:r>
    </w:p>
    <w:p w14:paraId="47053EF2">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Lines="0" w:afterLines="0" w:line="560" w:lineRule="exact"/>
        <w:ind w:left="0" w:leftChars="0" w:firstLine="640" w:firstLineChars="0"/>
        <w:textAlignment w:val="auto"/>
        <w:rPr>
          <w:b w:val="0"/>
        </w:rPr>
      </w:pPr>
      <w:r>
        <w:t>强化“三到位”压实整改责任</w:t>
      </w:r>
    </w:p>
    <w:p w14:paraId="12ABD696">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1.组织领导精准发力。街道成立巡察整改工作领导小组，党工委书记倪天武履行第一责任人职责，带头认领14项问题45条整改措施；副书记、办事处主任李飞主动认领5项问题20条整改措施。通过8次专题会议部署、24次一线督导，建立“街道党工委－分管领导－责任口线”三级联动机制，推行“清单式管理、台账化推进”模式，形成上下协同、层层落实的责任体系。</w:t>
      </w:r>
    </w:p>
    <w:p w14:paraId="2FA2DB69">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2.整改措施靶向施策。针对巡察反馈的18个方面46项问题，结合24条整改建议，街道迅速召开专题会议逐条梳理剖析，制定178项针对性整改措施。领导班子成员落实“一岗双责”，主动认领分管领域问题，建立问题清单、责任清单，精准协调破解整改堵点，确保措施落地见效。</w:t>
      </w:r>
    </w:p>
    <w:p w14:paraId="19112A2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3.整改成效深度融合。将巡察整改与中心工作同部署同推进，以整改促提升。通过整改，街道党工委政治站位显著提高，全面从严治党责任进一步夯实，意识形态责任制、党员发展管理等工作不断规范，机构改革顺利完成。整改长效机制逐步健全，干部政治自觉与责任意识明显增强，形成真抓实干的工作氛围。</w:t>
      </w:r>
    </w:p>
    <w:p w14:paraId="7FDDEA6B">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Lines="0" w:afterLines="0" w:line="560" w:lineRule="exact"/>
        <w:ind w:left="0" w:leftChars="0" w:firstLine="640" w:firstLineChars="0"/>
        <w:textAlignment w:val="auto"/>
        <w:rPr>
          <w:b w:val="0"/>
        </w:rPr>
      </w:pPr>
      <w:r>
        <w:t>做实“三落实”推进整改落地</w:t>
      </w:r>
    </w:p>
    <w:p w14:paraId="2EB7B52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
          <w:b w:val="0"/>
          <w:bCs w:val="0"/>
          <w:sz w:val="32"/>
          <w:szCs w:val="32"/>
        </w:rPr>
      </w:pPr>
      <w:r>
        <w:rPr>
          <w:rFonts w:hint="eastAsia" w:ascii="仿宋_GB2312" w:hAnsi="仿宋" w:eastAsia="仿宋_GB2312" w:cs="仿宋"/>
          <w:b w:val="0"/>
          <w:bCs w:val="0"/>
          <w:sz w:val="32"/>
          <w:szCs w:val="32"/>
        </w:rPr>
        <w:t>1.立行立改从严把关。严格执行“快改深改”要求，对整改事项实行台账管理、销号推进，建立“三审三查”审核机制，严把措施可行性、进度真实性、成效达标性关口。截至目前，审核整改材料120份，退回补充完善36项，有效提升整改质量。</w:t>
      </w:r>
    </w:p>
    <w:p w14:paraId="0D60744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
          <w:b w:val="0"/>
          <w:bCs w:val="0"/>
          <w:sz w:val="32"/>
          <w:szCs w:val="32"/>
        </w:rPr>
      </w:pPr>
      <w:r>
        <w:rPr>
          <w:rFonts w:hint="eastAsia" w:ascii="仿宋_GB2312" w:hAnsi="仿宋" w:eastAsia="仿宋_GB2312" w:cs="仿宋"/>
          <w:b w:val="0"/>
          <w:bCs w:val="0"/>
          <w:sz w:val="32"/>
          <w:szCs w:val="32"/>
        </w:rPr>
        <w:t>2.专项行动集中攻坚。结合整改要求，精准部署招商引资、老旧小区改造、物业管理提升、党员管理、社区“三资”管理、纪律作风整顿等6项专项行动，组建工作专班推进，集中破解重点领域突出问题。</w:t>
      </w:r>
    </w:p>
    <w:p w14:paraId="7AFAF2F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
          <w:b/>
          <w:bCs/>
          <w:sz w:val="32"/>
          <w:szCs w:val="32"/>
        </w:rPr>
      </w:pPr>
      <w:r>
        <w:rPr>
          <w:rFonts w:hint="eastAsia" w:ascii="仿宋_GB2312" w:hAnsi="仿宋" w:eastAsia="仿宋_GB2312" w:cs="仿宋"/>
          <w:b w:val="0"/>
          <w:bCs w:val="0"/>
          <w:sz w:val="32"/>
          <w:szCs w:val="32"/>
        </w:rPr>
        <w:t>3.制度建设固化成果。制定完善党工委会议制度、民主生活会细则、财务管理、“双违”整治巡查等11项规章制度，规范社区“三资”管理办法，将小组集体“三资”纳入监督范围。针对“三会一课”执行不严等问题，建立“清单式”督导机制，明确流程标准；聚焦“两企三新”领域党建，通过单独建、挂靠建等方式扩大党组织覆盖，破解党员教育管理松散难题。</w:t>
      </w:r>
    </w:p>
    <w:p w14:paraId="0376E5CC">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Lines="0" w:afterLines="0" w:line="560" w:lineRule="exact"/>
        <w:ind w:left="0" w:leftChars="0" w:firstLine="640" w:firstLineChars="0"/>
        <w:textAlignment w:val="auto"/>
        <w:rPr>
          <w:b w:val="0"/>
        </w:rPr>
      </w:pPr>
      <w:r>
        <w:t>推动“三促进”提升整改质效</w:t>
      </w:r>
    </w:p>
    <w:p w14:paraId="19F84A1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
          <w:b w:val="0"/>
          <w:bCs w:val="0"/>
          <w:sz w:val="32"/>
          <w:szCs w:val="32"/>
        </w:rPr>
      </w:pPr>
      <w:r>
        <w:rPr>
          <w:rFonts w:hint="eastAsia" w:ascii="仿宋_GB2312" w:hAnsi="仿宋" w:eastAsia="仿宋_GB2312" w:cs="仿宋"/>
          <w:b w:val="0"/>
          <w:bCs w:val="0"/>
          <w:sz w:val="32"/>
          <w:szCs w:val="32"/>
        </w:rPr>
        <w:t>1.促进作风纪律转变。以八项规定学习教育为契机，通过专题党课、案例警示等方式强化思想引领。街道纪工委以纪律作风整顿为抓手，开展警示教育2次、暗访抽查6次，通报批评8人，党员干部纪律意识显著增强，工作效能大幅提升。</w:t>
      </w:r>
    </w:p>
    <w:p w14:paraId="14FC906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
          <w:b w:val="0"/>
          <w:bCs w:val="0"/>
          <w:sz w:val="32"/>
          <w:szCs w:val="32"/>
        </w:rPr>
      </w:pPr>
      <w:r>
        <w:rPr>
          <w:rFonts w:hint="eastAsia" w:ascii="仿宋_GB2312" w:hAnsi="仿宋" w:eastAsia="仿宋_GB2312" w:cs="仿宋"/>
          <w:b w:val="0"/>
          <w:bCs w:val="0"/>
          <w:sz w:val="32"/>
          <w:szCs w:val="32"/>
        </w:rPr>
        <w:t>2.促进核心工作提升。优化营商环境，推行上门服务，精准解决企业难题，助力经济高质量发展。构建街道、社区、网格三级矛盾调处网络，矛盾化解率达90%以上，社会稳定性持续增强。深化“党建+”机制，将红色物业、网格化管理纳入党建计划，科学设置111个基层治理网格，配备专职网格员111名、兼职网格员281名，创新吸纳快递员等担任“移动网格员”，解决群众急难愁盼问题28件，基层治理精细化水平显著提升。</w:t>
      </w:r>
    </w:p>
    <w:p w14:paraId="334F2E8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
          <w:b/>
          <w:bCs/>
          <w:sz w:val="32"/>
          <w:szCs w:val="32"/>
        </w:rPr>
      </w:pPr>
      <w:r>
        <w:rPr>
          <w:rFonts w:hint="eastAsia" w:ascii="仿宋_GB2312" w:hAnsi="仿宋" w:eastAsia="仿宋_GB2312" w:cs="仿宋"/>
          <w:b w:val="0"/>
          <w:bCs w:val="0"/>
          <w:sz w:val="32"/>
          <w:szCs w:val="32"/>
        </w:rPr>
        <w:t>3.促进民生实事办好。针对高龄补贴和计生奖扶落实问题，线上线下联动排查，新纳入高龄补贴对象14人、计生奖扶对象2人。对3个老旧小区改造不到位问题立行立改，解决道路不平、屋顶渗水等问题，并全面排查历年改造项目。积极化解美恒众福缘项目基坑积水隐患，组织企业协商达成回填共识。建立民生需求反馈机制，群众满意度持续提升。</w:t>
      </w:r>
    </w:p>
    <w:p w14:paraId="51E6ED4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整改进展情况</w:t>
      </w:r>
    </w:p>
    <w:p w14:paraId="361ACF94">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ascii="仿宋_GB2312" w:hAnsi="仿宋" w:eastAsia="仿宋_GB2312" w:cs="仿宋"/>
          <w:sz w:val="32"/>
          <w:szCs w:val="32"/>
        </w:rPr>
      </w:pPr>
      <w:r>
        <w:rPr>
          <w:rFonts w:hint="eastAsia" w:ascii="仿宋_GB2312" w:hAnsi="仿宋" w:eastAsia="仿宋_GB2312" w:cs="仿宋"/>
          <w:sz w:val="32"/>
          <w:szCs w:val="32"/>
        </w:rPr>
        <w:t>　　（一）聚焦巡视巡察、审计等监督发现问题整改方面</w:t>
      </w:r>
    </w:p>
    <w:p w14:paraId="1D14CBA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ascii="仿宋_GB2312" w:hAnsi="仿宋" w:eastAsia="仿宋_GB2312" w:cs="仿宋"/>
          <w:sz w:val="32"/>
          <w:szCs w:val="32"/>
        </w:rPr>
        <w:t>1.</w:t>
      </w:r>
      <w:r>
        <w:rPr>
          <w:rFonts w:hint="eastAsia" w:ascii="仿宋_GB2312" w:hAnsi="仿宋" w:eastAsia="仿宋_GB2312" w:cs="仿宋"/>
          <w:sz w:val="32"/>
          <w:szCs w:val="32"/>
          <w:lang w:eastAsia="zh-CN"/>
        </w:rPr>
        <w:t>党工委未从政治高度重视整改工作。</w:t>
      </w:r>
    </w:p>
    <w:p w14:paraId="1FA67028">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firstLine="640"/>
        <w:jc w:val="both"/>
        <w:textAlignment w:val="auto"/>
        <w:rPr>
          <w:rFonts w:hint="eastAsia" w:ascii="仿宋_GB2312" w:hAnsi="仿宋" w:eastAsia="仿宋_GB2312" w:cs="仿宋"/>
          <w:kern w:val="0"/>
          <w:sz w:val="32"/>
          <w:szCs w:val="32"/>
          <w:lang w:val="en-US" w:eastAsia="zh-CN" w:bidi="ar-SA"/>
        </w:rPr>
      </w:pPr>
      <w:r>
        <w:rPr>
          <w:rFonts w:hint="eastAsia" w:ascii="仿宋_GB2312" w:hAnsi="仿宋" w:eastAsia="仿宋_GB2312" w:cs="仿宋"/>
          <w:kern w:val="0"/>
          <w:sz w:val="32"/>
          <w:szCs w:val="32"/>
          <w:lang w:val="en-US" w:eastAsia="zh-CN" w:bidi="ar-SA"/>
        </w:rPr>
        <w:t>整改情况：一是强化理论学习提升整改认识，制定整改方案与台账，明确责任分工和时限，成立专项领导小组并定期召开例会推进工作。二是落实“一岗双责”，班子成员深入一线督促指导。三是梳理过往巡察反馈问题，对未整改到位的再部署，确保整改衔接顺畅、成效逐步显现。</w:t>
      </w:r>
    </w:p>
    <w:p w14:paraId="7D6538B2">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60" w:lineRule="exact"/>
        <w:ind w:firstLine="640" w:firstLineChars="200"/>
        <w:jc w:val="both"/>
        <w:textAlignment w:val="auto"/>
        <w:rPr>
          <w:rFonts w:hint="eastAsia" w:ascii="仿宋_GB2312" w:hAnsi="仿宋" w:eastAsia="仿宋_GB2312" w:cs="仿宋"/>
          <w:kern w:val="0"/>
          <w:sz w:val="32"/>
          <w:szCs w:val="32"/>
          <w:lang w:val="en-US" w:eastAsia="zh-CN" w:bidi="ar-SA"/>
        </w:rPr>
      </w:pPr>
      <w:r>
        <w:rPr>
          <w:rFonts w:hint="eastAsia" w:ascii="仿宋_GB2312" w:hAnsi="仿宋" w:eastAsia="仿宋_GB2312" w:cs="仿宋"/>
          <w:kern w:val="0"/>
          <w:sz w:val="32"/>
          <w:szCs w:val="32"/>
          <w:lang w:val="en-US" w:eastAsia="zh-CN" w:bidi="ar-SA"/>
        </w:rPr>
        <w:t>2.党工委未把解决突出问题与完善治理体系、提升治理能力结合起来。</w:t>
      </w:r>
    </w:p>
    <w:p w14:paraId="1FFD0472">
      <w:pPr>
        <w:keepNext w:val="0"/>
        <w:keepLines w:val="0"/>
        <w:pageBreakBefore w:val="0"/>
        <w:widowControl w:val="0"/>
        <w:numPr>
          <w:ilvl w:val="0"/>
          <w:numId w:val="0"/>
        </w:numPr>
        <w:kinsoku/>
        <w:wordWrap/>
        <w:overflowPunct/>
        <w:topLinePunct w:val="0"/>
        <w:autoSpaceDE w:val="0"/>
        <w:autoSpaceDN w:val="0"/>
        <w:bidi w:val="0"/>
        <w:adjustRightInd/>
        <w:snapToGrid/>
        <w:spacing w:beforeAutospacing="0" w:afterAutospacing="0" w:line="560" w:lineRule="exact"/>
        <w:jc w:val="both"/>
        <w:textAlignment w:val="auto"/>
        <w:rPr>
          <w:rFonts w:hint="default" w:ascii="仿宋_GB2312" w:hAnsi="仿宋" w:eastAsia="仿宋_GB2312" w:cs="仿宋"/>
          <w:kern w:val="0"/>
          <w:sz w:val="32"/>
          <w:szCs w:val="32"/>
          <w:lang w:val="en-US" w:eastAsia="zh-CN" w:bidi="ar-SA"/>
        </w:rPr>
      </w:pPr>
      <w:r>
        <w:rPr>
          <w:rFonts w:hint="eastAsia" w:ascii="仿宋_GB2312" w:hAnsi="仿宋" w:eastAsia="仿宋_GB2312" w:cs="仿宋"/>
          <w:kern w:val="0"/>
          <w:sz w:val="32"/>
          <w:szCs w:val="32"/>
          <w:lang w:val="en-US" w:eastAsia="zh-CN" w:bidi="ar-SA"/>
        </w:rPr>
        <w:t xml:space="preserve">    整改情况：一是召开党工委会议，明确职责分工，将巡察整改与社区治理重点问题有机融合，压实责任、跟踪问效，推动整改落实。二是针对过往整改普遍问题追根溯源，加强社区培训，严格审核整改措施，杜绝形式化整改。三是收缴违规补助、移交相关线索，通过立案追责推动问题彻底整改。四是开展社区财务全面检查，追缴违规津补贴并问责相关责任人。</w:t>
      </w:r>
    </w:p>
    <w:p w14:paraId="525AA7C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3.党工委未把巡察整改融入日常工作。</w:t>
      </w:r>
    </w:p>
    <w:p w14:paraId="5C8A418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整改情况：一是将巡察整改纳入党工委及班子年度考核、述职述廉，针对长期整改任务定期研判难点，建立“以巡促改、以巡促建、以巡促治”长效机制。二是责令分包社区班子成员调查违规分组问题，制定整改意见，推进应合并小组合并。三是对相关村改居社区全面排查，未发现同类问题，有效防范风险，整改落地见效。</w:t>
      </w:r>
    </w:p>
    <w:p w14:paraId="0EF24E7F">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Lines="0" w:afterLines="0" w:line="560" w:lineRule="exact"/>
        <w:ind w:firstLine="640" w:firstLineChars="200"/>
        <w:textAlignment w:val="auto"/>
        <w:rPr>
          <w:rFonts w:hint="eastAsia" w:ascii="方正楷体_GB2312" w:hAnsi="方正楷体_GB2312" w:eastAsia="方正楷体_GB2312" w:cs="方正楷体_GB2312"/>
          <w:b w:val="0"/>
          <w:bCs w:val="0"/>
          <w:sz w:val="32"/>
          <w:szCs w:val="32"/>
          <w:lang w:val="en-US" w:eastAsia="zh-CN"/>
        </w:rPr>
      </w:pPr>
      <w:r>
        <w:rPr>
          <w:rFonts w:hint="eastAsia" w:ascii="方正楷体_GB2312" w:hAnsi="方正楷体_GB2312" w:eastAsia="方正楷体_GB2312" w:cs="方正楷体_GB2312"/>
          <w:b w:val="0"/>
          <w:bCs w:val="0"/>
          <w:lang w:eastAsia="zh-CN"/>
        </w:rPr>
        <w:t>（</w:t>
      </w:r>
      <w:r>
        <w:rPr>
          <w:rFonts w:hint="eastAsia" w:ascii="方正楷体_GB2312" w:hAnsi="方正楷体_GB2312" w:eastAsia="方正楷体_GB2312" w:cs="方正楷体_GB2312"/>
          <w:b w:val="0"/>
          <w:bCs w:val="0"/>
          <w:lang w:val="en-US" w:eastAsia="zh-CN"/>
        </w:rPr>
        <w:t>二</w:t>
      </w:r>
      <w:r>
        <w:rPr>
          <w:rFonts w:hint="eastAsia" w:ascii="方正楷体_GB2312" w:hAnsi="方正楷体_GB2312" w:eastAsia="方正楷体_GB2312" w:cs="方正楷体_GB2312"/>
          <w:b w:val="0"/>
          <w:bCs w:val="0"/>
          <w:lang w:eastAsia="zh-CN"/>
        </w:rPr>
        <w:t>）</w:t>
      </w:r>
      <w:r>
        <w:rPr>
          <w:rFonts w:hint="eastAsia" w:ascii="方正楷体_GB2312" w:hAnsi="方正楷体_GB2312" w:eastAsia="方正楷体_GB2312" w:cs="方正楷体_GB2312"/>
          <w:b w:val="0"/>
          <w:bCs w:val="0"/>
        </w:rPr>
        <w:t>贯彻落实党的理论路线方针政策和党中央、省委、市委、区委决策部署方面</w:t>
      </w:r>
    </w:p>
    <w:p w14:paraId="646FBB8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4.党工委依法就地解决群众合理诉求不够及时有效。</w:t>
      </w:r>
    </w:p>
    <w:p w14:paraId="57EA408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整改情况：一是召开专题会议学习信访工作相关精神及条例，全面排查信访隐患，建立台账、明确分工，逐项销号化解。二是落实“枫桥经验”，组织干部下沉，推动“下访”替代“上访”，降低赴区以上信访量。三是制定“重复访”整治方案，成立专班、建立台账，推进重点问题化解，改善信访秩序。</w:t>
      </w:r>
    </w:p>
    <w:p w14:paraId="474445B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5.</w:t>
      </w:r>
      <w:r>
        <w:rPr>
          <w:rFonts w:ascii="仿宋_GB2312" w:hAnsi="仿宋" w:eastAsia="仿宋_GB2312" w:cs="仿宋"/>
          <w:sz w:val="32"/>
          <w:szCs w:val="32"/>
        </w:rPr>
        <w:t>招商引资工作成效不高。</w:t>
      </w:r>
    </w:p>
    <w:p w14:paraId="5E10680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ascii="仿宋_GB2312" w:hAnsi="仿宋" w:eastAsia="仿宋_GB2312" w:cs="仿宋"/>
          <w:sz w:val="32"/>
          <w:szCs w:val="32"/>
        </w:rPr>
        <w:t>整改情况：一是修订招商方案、启动专项行动，建立项目分包台账，班子成员分包对接，推动项目签约落地。二是梳理闲置商业并盘活，开展电商、科技企业培训，推动企业达规，围绕产业链招商。三是对接多家商会及企业，收集诉求、协助办手续，洽谈重点项目。四是建立项目服务机制，签约7个项目、落地5个，招商服务成效显著。</w:t>
      </w:r>
    </w:p>
    <w:p w14:paraId="26AE08F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6.</w:t>
      </w:r>
      <w:r>
        <w:rPr>
          <w:rFonts w:ascii="仿宋_GB2312" w:hAnsi="仿宋" w:eastAsia="仿宋_GB2312" w:cs="仿宋"/>
          <w:sz w:val="32"/>
          <w:szCs w:val="32"/>
        </w:rPr>
        <w:t>推动老旧小区改造工作存在偏差。</w:t>
      </w:r>
    </w:p>
    <w:p w14:paraId="0A04FA2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ascii="仿宋_GB2312" w:hAnsi="仿宋" w:eastAsia="仿宋_GB2312" w:cs="仿宋"/>
          <w:sz w:val="32"/>
          <w:szCs w:val="32"/>
        </w:rPr>
        <w:t>整改情况：一是将老旧小区改造列为重点民生实事，开展专项行动，统筹解决重点难点问题。二是完成路面、屋顶、漏水、排水等问题整改，保障居住需求。三是建立质量管控模式，严格验收流程，提升改造质量。四是征求居民意见优化方案，开展拉网式排查，建立长效机制，确保改造规范闭环。</w:t>
      </w:r>
    </w:p>
    <w:p w14:paraId="1980C84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7.</w:t>
      </w:r>
      <w:r>
        <w:rPr>
          <w:rFonts w:ascii="仿宋_GB2312" w:hAnsi="仿宋" w:eastAsia="仿宋_GB2312" w:cs="仿宋"/>
          <w:color w:val="000000" w:themeColor="text1"/>
          <w:sz w:val="32"/>
          <w:szCs w:val="32"/>
          <w14:textFill>
            <w14:solidFill>
              <w14:schemeClr w14:val="tx1"/>
            </w14:solidFill>
          </w14:textFill>
        </w:rPr>
        <w:t>问题楼盘化解不够有力。</w:t>
      </w:r>
    </w:p>
    <w:p w14:paraId="22DFC50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整改情况：一是开展问题楼盘化解政策培训，提升专班能力，完成部分项目基坑回填，交付一批安置房。二是建立问题清单和台账，专班现场研判推进。三是“一楼一策”精准施策，协同部门推动项目审批与建设。四是协调各方达成共识，消除安全隐患，切实解决群众急难愁盼。</w:t>
      </w:r>
    </w:p>
    <w:p w14:paraId="4DB696C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8.</w:t>
      </w:r>
      <w:r>
        <w:rPr>
          <w:rFonts w:ascii="仿宋_GB2312" w:hAnsi="仿宋" w:eastAsia="仿宋_GB2312" w:cs="仿宋"/>
          <w:color w:val="000000" w:themeColor="text1"/>
          <w:sz w:val="32"/>
          <w:szCs w:val="32"/>
          <w14:textFill>
            <w14:solidFill>
              <w14:schemeClr w14:val="tx1"/>
            </w14:solidFill>
          </w14:textFill>
        </w:rPr>
        <w:t>“双违”整治力度不够。</w:t>
      </w:r>
    </w:p>
    <w:p w14:paraId="5F2444B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color w:val="000000" w:themeColor="text1"/>
          <w:sz w:val="32"/>
          <w:szCs w:val="32"/>
          <w14:textFill>
            <w14:solidFill>
              <w14:schemeClr w14:val="tx1"/>
            </w14:solidFill>
          </w14:textFill>
        </w:rPr>
      </w:pPr>
      <w:r>
        <w:rPr>
          <w:rFonts w:ascii="仿宋_GB2312" w:hAnsi="仿宋" w:eastAsia="仿宋_GB2312" w:cs="仿宋"/>
          <w:color w:val="000000" w:themeColor="text1"/>
          <w:sz w:val="32"/>
          <w:szCs w:val="32"/>
          <w14:textFill>
            <w14:solidFill>
              <w14:schemeClr w14:val="tx1"/>
            </w14:solidFill>
          </w14:textFill>
        </w:rPr>
        <w:t>整改情况：一是健全“双违”整治机制，成立领导小组、制定网格化巡查制度，明确三级巡查责任，实现早发现早处置。二是约谈相关企业，督促制定整改方案、赔偿业主损失，宣传引导群众抵制违建，无新增违建。三是推进存量违建处置，联合执法部门依法拆除部分违建，依规推进剩余违建整改。四是压实三级责任、完善联防联控制度，鼓励举报、加强宣传，形成遏制“双违”高压态势。</w:t>
      </w:r>
    </w:p>
    <w:p w14:paraId="030B512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9.</w:t>
      </w:r>
      <w:r>
        <w:rPr>
          <w:rFonts w:ascii="仿宋_GB2312" w:hAnsi="仿宋" w:eastAsia="仿宋_GB2312" w:cs="仿宋"/>
          <w:sz w:val="32"/>
          <w:szCs w:val="32"/>
        </w:rPr>
        <w:t>数字化城管推进乏力。</w:t>
      </w:r>
    </w:p>
    <w:p w14:paraId="2E33416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整改情况：一是成立数字化城管工作领导小组，修订管理方案，明确各单位分工与责任，推动工作提质增效。二是整合执法、社区等处置力量形成合力，紧盯重点案件严控超期、返工。三是开展案件处置培训，提升人员能力，7-10月实现“零超期”，整改成效显著</w:t>
      </w:r>
      <w:r>
        <w:rPr>
          <w:rFonts w:ascii="仿宋_GB2312" w:hAnsi="仿宋" w:eastAsia="仿宋_GB2312" w:cs="仿宋"/>
          <w:sz w:val="32"/>
          <w:szCs w:val="32"/>
        </w:rPr>
        <w:t>。</w:t>
      </w:r>
    </w:p>
    <w:p w14:paraId="167497F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10.</w:t>
      </w:r>
      <w:r>
        <w:rPr>
          <w:rFonts w:ascii="仿宋_GB2312" w:hAnsi="仿宋" w:eastAsia="仿宋_GB2312" w:cs="仿宋"/>
          <w:sz w:val="32"/>
          <w:szCs w:val="32"/>
        </w:rPr>
        <w:t>物业监管力量薄弱。</w:t>
      </w:r>
    </w:p>
    <w:p w14:paraId="07FEA87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整改情况：一是充实社区发展服务中心人员力量，统筹推进辖区物业监管、政策指导及投诉处理工作。二是配强社区物业专干，明确岗位职责并强化培训，专职开展物业日常指导、监管及矛盾排查调处。三是整合多部门及专业力量，建立物业矛盾“一站式”调解中心，实行“接诉即办”，高效化解纠纷</w:t>
      </w:r>
      <w:r>
        <w:rPr>
          <w:rFonts w:ascii="仿宋_GB2312" w:hAnsi="仿宋" w:eastAsia="仿宋_GB2312" w:cs="仿宋"/>
          <w:sz w:val="32"/>
          <w:szCs w:val="32"/>
        </w:rPr>
        <w:t>。</w:t>
      </w:r>
    </w:p>
    <w:p w14:paraId="2D02159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11.</w:t>
      </w:r>
      <w:r>
        <w:rPr>
          <w:rFonts w:ascii="仿宋_GB2312" w:hAnsi="仿宋" w:eastAsia="仿宋_GB2312" w:cs="仿宋"/>
          <w:sz w:val="32"/>
          <w:szCs w:val="32"/>
        </w:rPr>
        <w:t>业委会制约作用不够明显。</w:t>
      </w:r>
    </w:p>
    <w:p w14:paraId="6DCC040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整改情况：一是组织业委会成员学习物业相关法规，提升法律意识与履职能力，充分发挥业委会作用。二是建立业委会、物业、业主三方联席会议制度，围绕重点问题沟通协商，提升物业服务管理水平。三是推动不具备条件的小区成立物管会，搭建红色物业与联合党组织，以党建引领、党员带头，源头化解矛盾</w:t>
      </w:r>
      <w:r>
        <w:rPr>
          <w:rFonts w:ascii="仿宋_GB2312" w:hAnsi="仿宋" w:eastAsia="仿宋_GB2312" w:cs="仿宋"/>
          <w:sz w:val="32"/>
          <w:szCs w:val="32"/>
        </w:rPr>
        <w:t>。</w:t>
      </w:r>
    </w:p>
    <w:p w14:paraId="5CAA9FF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12.</w:t>
      </w:r>
      <w:r>
        <w:rPr>
          <w:rFonts w:ascii="仿宋_GB2312" w:hAnsi="仿宋" w:eastAsia="仿宋_GB2312" w:cs="仿宋"/>
          <w:sz w:val="32"/>
          <w:szCs w:val="32"/>
        </w:rPr>
        <w:t>物业服务管理不规范。</w:t>
      </w:r>
    </w:p>
    <w:p w14:paraId="58023DB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eastAsia="zh-CN"/>
        </w:rPr>
        <w:t>整改情况：一是开展物业管理规范提升专项行动，全面排查物业问题、建立台账，压实责任强化监管。二是解决电梯故障、房屋漏水等问题，完成维修整改。三是争取资金整合资源，完善老旧小区配套设施、消除安全隐患。四是协调物业与业主纠纷，达成初步共识。五是依法处置新老物业交接问题，推动依规化解矛盾</w:t>
      </w:r>
      <w:r>
        <w:rPr>
          <w:rFonts w:ascii="仿宋_GB2312" w:hAnsi="仿宋" w:eastAsia="仿宋_GB2312" w:cs="仿宋"/>
          <w:sz w:val="32"/>
          <w:szCs w:val="32"/>
        </w:rPr>
        <w:t>。</w:t>
      </w:r>
    </w:p>
    <w:p w14:paraId="3175C13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13.</w:t>
      </w:r>
      <w:r>
        <w:rPr>
          <w:rFonts w:ascii="仿宋_GB2312" w:hAnsi="仿宋" w:eastAsia="仿宋_GB2312" w:cs="仿宋"/>
          <w:sz w:val="32"/>
          <w:szCs w:val="32"/>
        </w:rPr>
        <w:t>街道、社区干部在防范电信网络诈骗工作中存在麻痹懈怠。</w:t>
      </w:r>
    </w:p>
    <w:p w14:paraId="01990E0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eastAsia="zh-CN"/>
        </w:rPr>
        <w:t>整改情况：一是强化组织领导，党工委书记牵头抓总，召开会议剖析反诈形势、强调工作重要性，杜绝麻痹懈怠思想。二是丰富宣传形式，结合传统宣传、短视频推广与入户走访，制定年度计划推动宣传常态化。三是深化警民联动，强化涉诈人员摸排，开展特定人群精准宣传，提升居民反诈意识，筑牢防控基础</w:t>
      </w:r>
      <w:r>
        <w:rPr>
          <w:rFonts w:ascii="仿宋_GB2312" w:hAnsi="仿宋" w:eastAsia="仿宋_GB2312" w:cs="仿宋"/>
          <w:sz w:val="32"/>
          <w:szCs w:val="32"/>
        </w:rPr>
        <w:t>。</w:t>
      </w:r>
    </w:p>
    <w:p w14:paraId="7BE9D34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14.</w:t>
      </w:r>
      <w:r>
        <w:rPr>
          <w:rFonts w:ascii="仿宋_GB2312" w:hAnsi="仿宋" w:eastAsia="仿宋_GB2312" w:cs="仿宋"/>
          <w:sz w:val="32"/>
          <w:szCs w:val="32"/>
        </w:rPr>
        <w:t>全民健康政策宣传形式单一。</w:t>
      </w:r>
    </w:p>
    <w:p w14:paraId="73602EA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整改情况：一是创新健康政策宣传形式，线下入户宣讲、测血压，线上多平台推</w:t>
      </w:r>
      <w:r>
        <w:rPr>
          <w:rFonts w:hint="eastAsia" w:ascii="仿宋_GB2312" w:hAnsi="仿宋" w:eastAsia="仿宋_GB2312" w:cs="仿宋"/>
          <w:sz w:val="32"/>
          <w:szCs w:val="32"/>
          <w:lang w:val="en-US" w:eastAsia="zh-CN"/>
        </w:rPr>
        <w:t>送</w:t>
      </w:r>
      <w:r>
        <w:rPr>
          <w:rFonts w:hint="eastAsia" w:ascii="仿宋_GB2312" w:hAnsi="仿宋" w:eastAsia="仿宋_GB2312" w:cs="仿宋"/>
          <w:sz w:val="32"/>
          <w:szCs w:val="32"/>
          <w:lang w:eastAsia="zh-CN"/>
        </w:rPr>
        <w:t>视频，扩大政策覆盖、提升知晓率。二是开展健康讲座、义诊及公共卫生服务宣传活动，提供体检、咨询服务，让惠民政策深入人心。三是制作体检宣传海报，多渠道扩散信息，为特殊人群提供上门服务，打通宣传“最后一公里”。四是组织体检小组进小区，短信通知体检信息，激发居民参与积极性</w:t>
      </w:r>
      <w:r>
        <w:rPr>
          <w:rFonts w:ascii="仿宋_GB2312" w:hAnsi="仿宋" w:eastAsia="仿宋_GB2312" w:cs="仿宋"/>
          <w:sz w:val="32"/>
          <w:szCs w:val="32"/>
        </w:rPr>
        <w:t>。</w:t>
      </w:r>
    </w:p>
    <w:p w14:paraId="1304CAB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15.</w:t>
      </w:r>
      <w:r>
        <w:rPr>
          <w:rFonts w:ascii="仿宋_GB2312" w:hAnsi="仿宋" w:eastAsia="仿宋_GB2312" w:cs="仿宋"/>
          <w:sz w:val="32"/>
          <w:szCs w:val="32"/>
        </w:rPr>
        <w:t>公共卫生管理服务不到位。</w:t>
      </w:r>
    </w:p>
    <w:p w14:paraId="315E41D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eastAsia="zh-CN"/>
        </w:rPr>
        <w:t>整改情况：一是精准摸排未建档重点人群，协助完成健康档案建立，稳步提升重点人群电子建档率。二是按规范明确非重点人群档案更新要求，开展专项检查查漏补缺，确保档案信息全面准确。三是强化慢性病患者面对面随访管理，组织医护人员技能培训提升服务能力。四是摸清妇保儿保对象底数，优化服务，提升公共卫生服务水平</w:t>
      </w:r>
      <w:r>
        <w:rPr>
          <w:rFonts w:ascii="仿宋_GB2312" w:hAnsi="仿宋" w:eastAsia="仿宋_GB2312" w:cs="仿宋"/>
          <w:sz w:val="32"/>
          <w:szCs w:val="32"/>
        </w:rPr>
        <w:t>。</w:t>
      </w:r>
    </w:p>
    <w:p w14:paraId="6C878A3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16.</w:t>
      </w:r>
      <w:r>
        <w:rPr>
          <w:rFonts w:ascii="仿宋_GB2312" w:hAnsi="仿宋" w:eastAsia="仿宋_GB2312" w:cs="仿宋"/>
          <w:sz w:val="32"/>
          <w:szCs w:val="32"/>
        </w:rPr>
        <w:t>意识形态风险研判不到位。</w:t>
      </w:r>
    </w:p>
    <w:p w14:paraId="02FF6B6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整改情况：一是完善意识形态风险防控制度，建立研判联席会机制，全量摸排风险，制定风险清单，筑牢安全防线。二是开展专题培训、案例剖析与交流研讨，深度融合业务工作，提升舆情研判处置能力。三是落实外宣“三审三校”，减少低级错误，强化领导把关，提升宣传公信力与引导力。四是通报问题、开展培训问责，压实责任，增强舆情防范意识，规范舆情管理流程</w:t>
      </w:r>
      <w:r>
        <w:rPr>
          <w:rFonts w:ascii="仿宋_GB2312" w:hAnsi="仿宋" w:eastAsia="仿宋_GB2312" w:cs="仿宋"/>
          <w:sz w:val="32"/>
          <w:szCs w:val="32"/>
        </w:rPr>
        <w:t>。</w:t>
      </w:r>
    </w:p>
    <w:p w14:paraId="59A04B1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17.</w:t>
      </w:r>
      <w:r>
        <w:rPr>
          <w:rFonts w:ascii="仿宋_GB2312" w:hAnsi="仿宋" w:eastAsia="仿宋_GB2312" w:cs="仿宋"/>
          <w:sz w:val="32"/>
          <w:szCs w:val="32"/>
        </w:rPr>
        <w:t>“网上舆情网下解”落实不够有力。</w:t>
      </w:r>
    </w:p>
    <w:p w14:paraId="498BEE4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整改情况：一是充实网评员队伍，采用“互联网 + 网格化” 模式，线上线下全面收集舆情线索，提升舆情监测化解能力。二是完善网络舆情应急处置流程，明确全链条职责与时限，重大舆情联合会商处置。三是常态化治理占道经营，联合多部门开展综合整治，保障出行畅通，引导商贩规范经营</w:t>
      </w:r>
      <w:r>
        <w:rPr>
          <w:rFonts w:ascii="仿宋_GB2312" w:hAnsi="仿宋" w:eastAsia="仿宋_GB2312" w:cs="仿宋"/>
          <w:sz w:val="32"/>
          <w:szCs w:val="32"/>
        </w:rPr>
        <w:t>。</w:t>
      </w:r>
    </w:p>
    <w:p w14:paraId="763BF95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18.</w:t>
      </w:r>
      <w:r>
        <w:rPr>
          <w:rFonts w:ascii="仿宋_GB2312" w:hAnsi="仿宋" w:eastAsia="仿宋_GB2312" w:cs="仿宋"/>
          <w:sz w:val="32"/>
          <w:szCs w:val="32"/>
        </w:rPr>
        <w:t>基层文化阵地管理缺失。</w:t>
      </w:r>
    </w:p>
    <w:p w14:paraId="2A1E89F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整改情况：一是建立社区图书室月度巡查与半年排查机制，规范书籍入库，筛查移除不良书籍，常态化管理杜绝漏洞。二是下架销毁问题书籍、补充正能量书籍，对所有社区开展集中排查。三是检修文化活动设施，规范借用登记与日常维护，防止设备老化闲置。四是依托相关阵地开展红色电影、知识讲座等活动，丰富群众文化生活</w:t>
      </w:r>
      <w:r>
        <w:rPr>
          <w:rFonts w:ascii="仿宋_GB2312" w:hAnsi="仿宋" w:eastAsia="仿宋_GB2312" w:cs="仿宋"/>
          <w:sz w:val="32"/>
          <w:szCs w:val="32"/>
        </w:rPr>
        <w:t>。</w:t>
      </w:r>
    </w:p>
    <w:p w14:paraId="71052DF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w:t>
      </w:r>
      <w:r>
        <w:rPr>
          <w:rFonts w:hint="eastAsia" w:ascii="方正楷体_GB2312" w:hAnsi="方正楷体_GB2312" w:eastAsia="方正楷体_GB2312" w:cs="方正楷体_GB2312"/>
          <w:sz w:val="32"/>
          <w:szCs w:val="32"/>
          <w:lang w:val="en-US" w:eastAsia="zh-CN"/>
        </w:rPr>
        <w:t>三</w:t>
      </w:r>
      <w:r>
        <w:rPr>
          <w:rFonts w:hint="eastAsia" w:ascii="方正楷体_GB2312" w:hAnsi="方正楷体_GB2312" w:eastAsia="方正楷体_GB2312" w:cs="方正楷体_GB2312"/>
          <w:sz w:val="32"/>
          <w:szCs w:val="32"/>
          <w:lang w:eastAsia="zh-CN"/>
        </w:rPr>
        <w:t>）</w:t>
      </w:r>
      <w:r>
        <w:rPr>
          <w:rFonts w:hint="eastAsia" w:ascii="方正楷体_GB2312" w:hAnsi="方正楷体_GB2312" w:eastAsia="方正楷体_GB2312" w:cs="方正楷体_GB2312"/>
          <w:sz w:val="32"/>
          <w:szCs w:val="32"/>
        </w:rPr>
        <w:t>聚焦群众身边腐败问题和不正之风以及群众反映强烈的突出问题方面</w:t>
      </w:r>
    </w:p>
    <w:p w14:paraId="104B770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19.</w:t>
      </w:r>
      <w:r>
        <w:rPr>
          <w:rFonts w:ascii="仿宋_GB2312" w:hAnsi="仿宋" w:eastAsia="仿宋_GB2312" w:cs="仿宋"/>
          <w:sz w:val="32"/>
          <w:szCs w:val="32"/>
        </w:rPr>
        <w:t>党工委管党治党主体责任扛得不牢。</w:t>
      </w:r>
    </w:p>
    <w:p w14:paraId="5B3F0B0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eastAsia="zh-CN"/>
        </w:rPr>
        <w:t>整改情况：一是制定党风廉政建设年度目标，创新中央八项规定精神学习形式，每半年召开专题会，推进全面从严治党工作。二是党工委书记履行第一责任人责任，深入调研落实情况，建立定期谈心机制，存档谈话记录。三是压实班子成员“一岗双责”，常态化谈心提醒，早发现、早纠正苗头性问题，筑牢廉政防线</w:t>
      </w:r>
      <w:r>
        <w:rPr>
          <w:rFonts w:ascii="仿宋_GB2312" w:hAnsi="仿宋" w:eastAsia="仿宋_GB2312" w:cs="仿宋"/>
          <w:sz w:val="32"/>
          <w:szCs w:val="32"/>
        </w:rPr>
        <w:t>。</w:t>
      </w:r>
    </w:p>
    <w:p w14:paraId="415C9CC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20.</w:t>
      </w:r>
      <w:r>
        <w:rPr>
          <w:rFonts w:ascii="仿宋_GB2312" w:hAnsi="仿宋" w:eastAsia="仿宋_GB2312" w:cs="仿宋"/>
          <w:sz w:val="32"/>
          <w:szCs w:val="32"/>
        </w:rPr>
        <w:t>日常监督不到位。</w:t>
      </w:r>
    </w:p>
    <w:p w14:paraId="6E18904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整改情况：一是开展“强化担当、主动作为”主题学习，剖析“好人主义”危害，解决纪工委工作人员主动作为不足、不敢较真碰硬问题。二是建立日常监督研判机制，每周总结研判工作，制定差异化监督方案，季度更新检查重点。三是推进纪律作风整顿，开展纪律检查与处理，组织节前警示教育，提升党员干部纪律意识和廉洁自律能力</w:t>
      </w:r>
      <w:r>
        <w:rPr>
          <w:rFonts w:ascii="仿宋_GB2312" w:hAnsi="仿宋" w:eastAsia="仿宋_GB2312" w:cs="仿宋"/>
          <w:sz w:val="32"/>
          <w:szCs w:val="32"/>
        </w:rPr>
        <w:t>。</w:t>
      </w:r>
    </w:p>
    <w:p w14:paraId="6C51836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21.</w:t>
      </w:r>
      <w:r>
        <w:rPr>
          <w:rFonts w:ascii="仿宋_GB2312" w:hAnsi="仿宋" w:eastAsia="仿宋_GB2312" w:cs="仿宋"/>
          <w:sz w:val="32"/>
          <w:szCs w:val="32"/>
        </w:rPr>
        <w:t>对廉政风险防控不严格。</w:t>
      </w:r>
    </w:p>
    <w:p w14:paraId="59E9201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整改情况：一是完善重点领域廉政风险防控制度，规范相关管理流程，推行公开公示，主动接受监督。二是组织关键岗位人员，排查重点领域、重要岗位的廉政风险与监管薄弱环节，针对性完善防控措施。三是开展廉政风险防控培训，通过业务指导、案例学习，强化党员干部防控意识与能力</w:t>
      </w:r>
      <w:r>
        <w:rPr>
          <w:rFonts w:ascii="仿宋_GB2312" w:hAnsi="仿宋" w:eastAsia="仿宋_GB2312" w:cs="仿宋"/>
          <w:sz w:val="32"/>
          <w:szCs w:val="32"/>
        </w:rPr>
        <w:t>。</w:t>
      </w:r>
    </w:p>
    <w:p w14:paraId="4E0101D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22.</w:t>
      </w:r>
      <w:r>
        <w:rPr>
          <w:rFonts w:ascii="仿宋_GB2312" w:hAnsi="仿宋" w:eastAsia="仿宋_GB2312" w:cs="仿宋"/>
          <w:sz w:val="32"/>
          <w:szCs w:val="32"/>
        </w:rPr>
        <w:t>婚丧喜庆事宜报备工作流于形式。</w:t>
      </w:r>
    </w:p>
    <w:p w14:paraId="590A94A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整改情况：一是组织党员干部学习婚丧喜庆报备相关规定，发放报备流程明白卡，通过微信群推送案例，强化纪律意识。二是对违规报备问题开展核查，对相关人员进行批评教育。三是修订报备规定，开展专项监督检查，设立举报箱，鼓励群众监督，规范报备工作</w:t>
      </w:r>
      <w:r>
        <w:rPr>
          <w:rFonts w:ascii="仿宋_GB2312" w:hAnsi="仿宋" w:eastAsia="仿宋_GB2312" w:cs="仿宋"/>
          <w:sz w:val="32"/>
          <w:szCs w:val="32"/>
        </w:rPr>
        <w:t>。</w:t>
      </w:r>
    </w:p>
    <w:p w14:paraId="5D7DDAA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23.</w:t>
      </w:r>
      <w:r>
        <w:rPr>
          <w:rFonts w:ascii="仿宋_GB2312" w:hAnsi="仿宋" w:eastAsia="仿宋_GB2312" w:cs="仿宋"/>
          <w:sz w:val="32"/>
          <w:szCs w:val="32"/>
        </w:rPr>
        <w:t>追责问责不够有力。</w:t>
      </w:r>
    </w:p>
    <w:p w14:paraId="73A0F61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整改情况：一是组织纪检干部培训，学习《监察法》等法规，通报典型案例，强化监督责任意识。二是制定日常监督清单，开展纪律作风整治，不定时检查签到，批评教育迟到人员。三是规范问题线索处置流程，实行“挂号销号”、限时办结，避免线索积压。四是加大执纪办案力度，处分违规人员，克服执纪问责宽松软，形成有力震慑</w:t>
      </w:r>
      <w:r>
        <w:rPr>
          <w:rFonts w:ascii="仿宋_GB2312" w:hAnsi="仿宋" w:eastAsia="仿宋_GB2312" w:cs="仿宋"/>
          <w:sz w:val="32"/>
          <w:szCs w:val="32"/>
        </w:rPr>
        <w:t>。</w:t>
      </w:r>
    </w:p>
    <w:p w14:paraId="44AB636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24.</w:t>
      </w:r>
      <w:r>
        <w:rPr>
          <w:rFonts w:ascii="仿宋_GB2312" w:hAnsi="仿宋" w:eastAsia="仿宋_GB2312" w:cs="仿宋"/>
          <w:sz w:val="32"/>
          <w:szCs w:val="32"/>
        </w:rPr>
        <w:t>组织以案促改不扎实。</w:t>
      </w:r>
    </w:p>
    <w:p w14:paraId="66B3504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整改情况：一是下发相关通知，压实案发单位党组织书记第一责任人责任，提升以案促改质量。二是开展业务培训，明确工作重点与步骤，规范各支部以案促改流程。三是组织支部“回头看”，自查自纠并强化警示教育。四是纪工委监督检查，召开警示与专题会议，排查风险、整改问题、完善制度，形成闭环实现标本兼治</w:t>
      </w:r>
      <w:r>
        <w:rPr>
          <w:rFonts w:ascii="仿宋_GB2312" w:hAnsi="仿宋" w:eastAsia="仿宋_GB2312" w:cs="仿宋"/>
          <w:sz w:val="32"/>
          <w:szCs w:val="32"/>
        </w:rPr>
        <w:t>。</w:t>
      </w:r>
    </w:p>
    <w:p w14:paraId="578BC16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25.</w:t>
      </w:r>
      <w:r>
        <w:rPr>
          <w:rFonts w:ascii="仿宋_GB2312" w:hAnsi="仿宋" w:eastAsia="仿宋_GB2312" w:cs="仿宋"/>
          <w:sz w:val="32"/>
          <w:szCs w:val="32"/>
        </w:rPr>
        <w:t>高龄补贴发放不及时、不精准。</w:t>
      </w:r>
    </w:p>
    <w:p w14:paraId="2AAD399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eastAsia="zh-CN"/>
        </w:rPr>
        <w:t>整改情况：一是多渠道宣传高龄补贴政策，建立老年群体台账，提前提醒符合条件老人申领，确保政策惠及到位。二是依法依规追回已故及超发老人的补贴资金并上缴。三是对相关疏忽人员追责，强化责任意识，压实工作责任。四是开展政策培训与排查，完成部分补贴办理，保障补贴精准及时发放</w:t>
      </w:r>
      <w:r>
        <w:rPr>
          <w:rFonts w:ascii="仿宋_GB2312" w:hAnsi="仿宋" w:eastAsia="仿宋_GB2312" w:cs="仿宋"/>
          <w:sz w:val="32"/>
          <w:szCs w:val="32"/>
        </w:rPr>
        <w:t>。</w:t>
      </w:r>
    </w:p>
    <w:p w14:paraId="769F1C5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26.</w:t>
      </w:r>
      <w:r>
        <w:rPr>
          <w:rFonts w:ascii="仿宋_GB2312" w:hAnsi="仿宋" w:eastAsia="仿宋_GB2312" w:cs="仿宋"/>
          <w:sz w:val="32"/>
          <w:szCs w:val="32"/>
        </w:rPr>
        <w:t>计划生育奖扶政策落实不到位。</w:t>
      </w:r>
    </w:p>
    <w:p w14:paraId="5B95DE6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整改情况：一是梳理近三年奖扶工作问题，剖析原因、总结2025年工作，优化方法并制定2026年计划。二是线上线下多渠道宣传奖扶政策，优化解读内容，提高群众知晓率，减少漏享情况。三是排查奖扶退出情形建台账，提醒未年审人员，提升对象主动报备意识。四是核实相关人员情况，追回未及时退出的奖扶资金</w:t>
      </w:r>
      <w:r>
        <w:rPr>
          <w:rFonts w:ascii="仿宋_GB2312" w:hAnsi="仿宋" w:eastAsia="仿宋_GB2312" w:cs="仿宋"/>
          <w:sz w:val="32"/>
          <w:szCs w:val="32"/>
        </w:rPr>
        <w:t>。</w:t>
      </w:r>
    </w:p>
    <w:p w14:paraId="7D730C2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27.</w:t>
      </w:r>
      <w:r>
        <w:rPr>
          <w:rFonts w:ascii="仿宋_GB2312" w:hAnsi="仿宋" w:eastAsia="仿宋_GB2312" w:cs="仿宋"/>
          <w:sz w:val="32"/>
          <w:szCs w:val="32"/>
        </w:rPr>
        <w:t>低保动态管理不到位。</w:t>
      </w:r>
    </w:p>
    <w:p w14:paraId="62A433F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整改情况：一是培训民政工作人员及社区专干，学习低保政策与动态管理规定，强化为民服务和责任意识。二是取消条件好转人员的低保待遇。三是公开低保人员名单及举报电话，畅通群众监督渠道。四是全面排查低保人员，建台账强化动态管理</w:t>
      </w:r>
      <w:r>
        <w:rPr>
          <w:rFonts w:ascii="仿宋_GB2312" w:hAnsi="仿宋" w:eastAsia="仿宋_GB2312" w:cs="仿宋"/>
          <w:sz w:val="32"/>
          <w:szCs w:val="32"/>
        </w:rPr>
        <w:t>。</w:t>
      </w:r>
    </w:p>
    <w:p w14:paraId="087D5B8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28.</w:t>
      </w:r>
      <w:r>
        <w:rPr>
          <w:rFonts w:ascii="仿宋_GB2312" w:hAnsi="仿宋" w:eastAsia="仿宋_GB2312" w:cs="仿宋"/>
          <w:sz w:val="32"/>
          <w:szCs w:val="32"/>
        </w:rPr>
        <w:t>临时救助发放不规范。</w:t>
      </w:r>
    </w:p>
    <w:p w14:paraId="7913A44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eastAsia="zh-CN"/>
        </w:rPr>
        <w:t>整改情况：一是开展临时救助专项培训，规范对象认定等关键环节，杜绝“好人主义”，做到应救尽救。二是严格审核材料，入户核实家庭困难情况，确保救助对象精准。三是公示救助信息及举报电话，接受社会监督。四是复核相关材料并问责，全面核查过往救助，及时纠正问题</w:t>
      </w:r>
      <w:r>
        <w:rPr>
          <w:rFonts w:ascii="仿宋_GB2312" w:hAnsi="仿宋" w:eastAsia="仿宋_GB2312" w:cs="仿宋"/>
          <w:sz w:val="32"/>
          <w:szCs w:val="32"/>
        </w:rPr>
        <w:t>。</w:t>
      </w:r>
    </w:p>
    <w:p w14:paraId="7BEE515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29.</w:t>
      </w:r>
      <w:r>
        <w:rPr>
          <w:rFonts w:ascii="仿宋_GB2312" w:hAnsi="仿宋" w:eastAsia="仿宋_GB2312" w:cs="仿宋"/>
          <w:sz w:val="32"/>
          <w:szCs w:val="32"/>
        </w:rPr>
        <w:t>集体资产租金收缴不力。</w:t>
      </w:r>
    </w:p>
    <w:p w14:paraId="49E5053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整改情况：一是纪工委牵头联合相关部门，督促催收拖欠集体资产租金，启动司法程序并获终审判决，取得关键成效。二是修订集体资产租赁管理制度，明确租金收缴、违约责任等核心要素。三是规范合同管理，按示范文本签订并经审核备案。四是每半年抽查合同执行，严肃查处违规行为</w:t>
      </w:r>
      <w:r>
        <w:rPr>
          <w:rFonts w:ascii="仿宋_GB2312" w:hAnsi="仿宋" w:eastAsia="仿宋_GB2312" w:cs="仿宋"/>
          <w:sz w:val="32"/>
          <w:szCs w:val="32"/>
        </w:rPr>
        <w:t>。</w:t>
      </w:r>
    </w:p>
    <w:p w14:paraId="31B7D96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30.</w:t>
      </w:r>
      <w:r>
        <w:rPr>
          <w:rFonts w:ascii="仿宋_GB2312" w:hAnsi="仿宋" w:eastAsia="仿宋_GB2312" w:cs="仿宋"/>
          <w:sz w:val="32"/>
          <w:szCs w:val="32"/>
        </w:rPr>
        <w:t>集体资产未实现保值增值。</w:t>
      </w:r>
    </w:p>
    <w:p w14:paraId="6E4AC48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整改情况：一是督促社区评估闲置资产、多渠道发布招租信息，完成签约有效盘活资产。二是全面清查各社区经营性资产，摸清闲置资产位置、数量等关键信息。三是培训社区干部，提升资产运营、招商谈判等专业能力。四是建立动态管理台账，实时更新汇总，保障集体资产保值增值</w:t>
      </w:r>
      <w:r>
        <w:rPr>
          <w:rFonts w:ascii="仿宋_GB2312" w:hAnsi="仿宋" w:eastAsia="仿宋_GB2312" w:cs="仿宋"/>
          <w:sz w:val="32"/>
          <w:szCs w:val="32"/>
        </w:rPr>
        <w:t>。</w:t>
      </w:r>
    </w:p>
    <w:p w14:paraId="112AA16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31.</w:t>
      </w:r>
      <w:r>
        <w:rPr>
          <w:rFonts w:ascii="仿宋_GB2312" w:hAnsi="仿宋" w:eastAsia="仿宋_GB2312" w:cs="仿宋"/>
          <w:sz w:val="32"/>
          <w:szCs w:val="32"/>
        </w:rPr>
        <w:t>票据不合规。</w:t>
      </w:r>
    </w:p>
    <w:p w14:paraId="249FEF3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整改情况：一是排查近三年票据不合规问题，建台账推动整改。二是规范票据开具与取得，制定财务管理制度。三是优化审核流程，强化多层级把关。四是培训相关人员，提升票据合规意识与业务水平</w:t>
      </w:r>
      <w:r>
        <w:rPr>
          <w:rFonts w:ascii="仿宋_GB2312" w:hAnsi="仿宋" w:eastAsia="仿宋_GB2312" w:cs="仿宋"/>
          <w:sz w:val="32"/>
          <w:szCs w:val="32"/>
        </w:rPr>
        <w:t>。</w:t>
      </w:r>
    </w:p>
    <w:p w14:paraId="5B83AFA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32.</w:t>
      </w:r>
      <w:r>
        <w:rPr>
          <w:rFonts w:ascii="仿宋_GB2312" w:hAnsi="仿宋" w:eastAsia="仿宋_GB2312" w:cs="仿宋"/>
          <w:sz w:val="32"/>
          <w:szCs w:val="32"/>
        </w:rPr>
        <w:t>扩大支付范围。</w:t>
      </w:r>
    </w:p>
    <w:p w14:paraId="60E0F83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整改情况：一是排查建台账推动整改。二是开展警示教育，实现事前防控。三是修订拨款管理办法，明确预算单位范围、负面清单及审批流程。四是组织财务培训，强化违规风险认知</w:t>
      </w:r>
      <w:r>
        <w:rPr>
          <w:rFonts w:ascii="仿宋_GB2312" w:hAnsi="仿宋" w:eastAsia="仿宋_GB2312" w:cs="仿宋"/>
          <w:sz w:val="32"/>
          <w:szCs w:val="32"/>
        </w:rPr>
        <w:t>。</w:t>
      </w:r>
    </w:p>
    <w:p w14:paraId="43D04E4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33.</w:t>
      </w:r>
      <w:r>
        <w:rPr>
          <w:rFonts w:ascii="仿宋_GB2312" w:hAnsi="仿宋" w:eastAsia="仿宋_GB2312" w:cs="仿宋"/>
          <w:sz w:val="32"/>
          <w:szCs w:val="32"/>
        </w:rPr>
        <w:t>附件不全。</w:t>
      </w:r>
    </w:p>
    <w:p w14:paraId="0A9035E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整改情况：一是复核过往费用附件及发票问题，杜绝同类情况。二是修订财务附件管理制度，明确佐证材料标准。三是规范报销审核流程，建立附件预审核机制。四是开展专题培训，提升人员规范掌握度</w:t>
      </w:r>
      <w:r>
        <w:rPr>
          <w:rFonts w:ascii="仿宋_GB2312" w:hAnsi="仿宋" w:eastAsia="仿宋_GB2312" w:cs="仿宋"/>
          <w:sz w:val="32"/>
          <w:szCs w:val="32"/>
        </w:rPr>
        <w:t>。</w:t>
      </w:r>
    </w:p>
    <w:p w14:paraId="736565B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34.</w:t>
      </w:r>
      <w:r>
        <w:rPr>
          <w:rFonts w:ascii="仿宋_GB2312" w:hAnsi="仿宋" w:eastAsia="仿宋_GB2312" w:cs="仿宋"/>
          <w:sz w:val="32"/>
          <w:szCs w:val="32"/>
        </w:rPr>
        <w:t>账证不符。</w:t>
      </w:r>
    </w:p>
    <w:p w14:paraId="682F14D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整改情况：一是核查社区入账票据不规范问题，强化审核杜绝同类情况。二是培训社区会计，自查近三年账证不符问题。三是修订管理办法，构建票据全过程监管闭环。四是加强日常监督，堵塞漏洞保障资金安全</w:t>
      </w:r>
      <w:r>
        <w:rPr>
          <w:rFonts w:ascii="仿宋_GB2312" w:hAnsi="仿宋" w:eastAsia="仿宋_GB2312" w:cs="仿宋"/>
          <w:sz w:val="32"/>
          <w:szCs w:val="32"/>
        </w:rPr>
        <w:t>。</w:t>
      </w:r>
    </w:p>
    <w:p w14:paraId="5FF43B2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w:t>
      </w:r>
      <w:r>
        <w:rPr>
          <w:rFonts w:hint="eastAsia" w:ascii="方正楷体_GB2312" w:hAnsi="方正楷体_GB2312" w:eastAsia="方正楷体_GB2312" w:cs="方正楷体_GB2312"/>
          <w:sz w:val="32"/>
          <w:szCs w:val="32"/>
          <w:lang w:val="en-US" w:eastAsia="zh-CN"/>
        </w:rPr>
        <w:t>四</w:t>
      </w:r>
      <w:r>
        <w:rPr>
          <w:rFonts w:hint="eastAsia" w:ascii="方正楷体_GB2312" w:hAnsi="方正楷体_GB2312" w:eastAsia="方正楷体_GB2312" w:cs="方正楷体_GB2312"/>
          <w:sz w:val="32"/>
          <w:szCs w:val="32"/>
          <w:lang w:eastAsia="zh-CN"/>
        </w:rPr>
        <w:t>）</w:t>
      </w:r>
      <w:r>
        <w:rPr>
          <w:rFonts w:hint="eastAsia" w:ascii="方正楷体_GB2312" w:hAnsi="方正楷体_GB2312" w:eastAsia="方正楷体_GB2312" w:cs="方正楷体_GB2312"/>
          <w:sz w:val="32"/>
          <w:szCs w:val="32"/>
        </w:rPr>
        <w:t>聚焦基层党组织软弱涣散、组织力欠缺方面</w:t>
      </w:r>
    </w:p>
    <w:p w14:paraId="42E5662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35.</w:t>
      </w:r>
      <w:r>
        <w:rPr>
          <w:rFonts w:ascii="仿宋_GB2312" w:hAnsi="仿宋" w:eastAsia="仿宋_GB2312" w:cs="仿宋"/>
          <w:sz w:val="32"/>
          <w:szCs w:val="32"/>
        </w:rPr>
        <w:t>抓机关党建责任意识不强。</w:t>
      </w:r>
    </w:p>
    <w:p w14:paraId="739F8E9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整改情况：一是结合实际完善年度党建工作计划。二是学习党建重要论述并研讨，提升党建工作认识与责任意识。三是制定党建引领治理任务清单，推动党建与业务深度融合。四是明确党建责任清单与核心任务，压实主体责任。五是建立班子成员下沉指导制度，协调解决问题，推动党建任务落地</w:t>
      </w:r>
      <w:r>
        <w:rPr>
          <w:rFonts w:ascii="仿宋_GB2312" w:hAnsi="仿宋" w:eastAsia="仿宋_GB2312" w:cs="仿宋"/>
          <w:sz w:val="32"/>
          <w:szCs w:val="32"/>
        </w:rPr>
        <w:t>。</w:t>
      </w:r>
    </w:p>
    <w:p w14:paraId="75DD2C3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36.</w:t>
      </w:r>
      <w:r>
        <w:rPr>
          <w:rFonts w:ascii="仿宋_GB2312" w:hAnsi="仿宋" w:eastAsia="仿宋_GB2312" w:cs="仿宋"/>
          <w:sz w:val="32"/>
          <w:szCs w:val="32"/>
        </w:rPr>
        <w:t>党工委议事规则执行不规范。</w:t>
      </w:r>
    </w:p>
    <w:p w14:paraId="272BD46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整改情况：一是学习相关条例并剖析案例，增强规范议事认识。二是完善党工委议事规则，界定决策范围。三是建立议题前置审核机制，保障“三重一大”审议。四是规范会议召开与记录。五是落实“一把手”末位发言制</w:t>
      </w:r>
      <w:r>
        <w:rPr>
          <w:rFonts w:ascii="仿宋_GB2312" w:hAnsi="仿宋" w:eastAsia="仿宋_GB2312" w:cs="仿宋"/>
          <w:sz w:val="32"/>
          <w:szCs w:val="32"/>
        </w:rPr>
        <w:t>。</w:t>
      </w:r>
    </w:p>
    <w:p w14:paraId="2DD8F42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37.</w:t>
      </w:r>
      <w:r>
        <w:rPr>
          <w:rFonts w:ascii="仿宋_GB2312" w:hAnsi="仿宋" w:eastAsia="仿宋_GB2312" w:cs="仿宋"/>
          <w:sz w:val="32"/>
          <w:szCs w:val="32"/>
        </w:rPr>
        <w:t>党内政治生活不严不实。</w:t>
      </w:r>
    </w:p>
    <w:p w14:paraId="5ECB398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整改情况：一是组织班子专题培训，学习党章及相关准则，提交学习心得，提升政治站位与责任意识。二是制定民主生活会实施细则，明确会议相关要求。三是要求班子成员亲自撰写个人材料并经审签。四是对过往会议“回头看”，查摆问题建台账。五是涉事成员写检讨，承诺严守会议要求</w:t>
      </w:r>
      <w:r>
        <w:rPr>
          <w:rFonts w:ascii="仿宋_GB2312" w:hAnsi="仿宋" w:eastAsia="仿宋_GB2312" w:cs="仿宋"/>
          <w:sz w:val="32"/>
          <w:szCs w:val="32"/>
        </w:rPr>
        <w:t>。</w:t>
      </w:r>
    </w:p>
    <w:p w14:paraId="32D2078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38.</w:t>
      </w:r>
      <w:r>
        <w:rPr>
          <w:rFonts w:ascii="仿宋_GB2312" w:hAnsi="仿宋" w:eastAsia="仿宋_GB2312" w:cs="仿宋"/>
          <w:sz w:val="32"/>
          <w:szCs w:val="32"/>
        </w:rPr>
        <w:t>开展民主生活会不规范。</w:t>
      </w:r>
    </w:p>
    <w:p w14:paraId="28DE545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整改情况：一是规范民主生活会参会及发言要求，明确非党干部权限，邀请相关领导参会提质量。二是组织专题学习培训，通报案例、相关人员检讨。三是要求班子成员亲自撰写发言提纲，杜绝抄袭</w:t>
      </w:r>
      <w:r>
        <w:rPr>
          <w:rFonts w:ascii="仿宋_GB2312" w:hAnsi="仿宋" w:eastAsia="仿宋_GB2312" w:cs="仿宋"/>
          <w:sz w:val="32"/>
          <w:szCs w:val="32"/>
        </w:rPr>
        <w:t>。</w:t>
      </w:r>
    </w:p>
    <w:p w14:paraId="0B10469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39.</w:t>
      </w:r>
      <w:r>
        <w:rPr>
          <w:rFonts w:ascii="仿宋_GB2312" w:hAnsi="仿宋" w:eastAsia="仿宋_GB2312" w:cs="仿宋"/>
          <w:sz w:val="32"/>
          <w:szCs w:val="32"/>
        </w:rPr>
        <w:t>领导班子双重组织生活制度落实不够好。</w:t>
      </w:r>
    </w:p>
    <w:p w14:paraId="6B4DBE3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整改情况：一是组织专题学习党内法规，明确组织生活严肃性，提升政治站位。二是制定组织生活会实施细则及方案，规范流程，要求班子成员以普通党员身份参会。三是追责相关人员，通报批评并责令写检查。四是专项检查并督促整改，约谈问题支部。五是纳入党建清单，“一把手”带头参会</w:t>
      </w:r>
      <w:r>
        <w:rPr>
          <w:rFonts w:ascii="仿宋_GB2312" w:hAnsi="仿宋" w:eastAsia="仿宋_GB2312" w:cs="仿宋"/>
          <w:sz w:val="32"/>
          <w:szCs w:val="32"/>
        </w:rPr>
        <w:t>。</w:t>
      </w:r>
    </w:p>
    <w:p w14:paraId="5A50809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40.</w:t>
      </w:r>
      <w:r>
        <w:rPr>
          <w:rFonts w:ascii="仿宋_GB2312" w:hAnsi="仿宋" w:eastAsia="仿宋_GB2312" w:cs="仿宋"/>
          <w:sz w:val="32"/>
          <w:szCs w:val="32"/>
        </w:rPr>
        <w:t>机关党建不实。</w:t>
      </w:r>
    </w:p>
    <w:p w14:paraId="5ECACCD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整改情况：一是核查机关支部“三会一课”记录，整改问题提升规范性。二是制定年度党建计划，压实支部委员职责。三是问责相关支部书记。四是建长效机制，开展党务培训、上报工作总结</w:t>
      </w:r>
      <w:r>
        <w:rPr>
          <w:rFonts w:ascii="仿宋_GB2312" w:hAnsi="仿宋" w:eastAsia="仿宋_GB2312" w:cs="仿宋"/>
          <w:sz w:val="32"/>
          <w:szCs w:val="32"/>
        </w:rPr>
        <w:t>。</w:t>
      </w:r>
    </w:p>
    <w:p w14:paraId="66CA671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41.</w:t>
      </w:r>
      <w:r>
        <w:rPr>
          <w:rFonts w:ascii="仿宋_GB2312" w:hAnsi="仿宋" w:eastAsia="仿宋_GB2312" w:cs="仿宋"/>
          <w:sz w:val="32"/>
          <w:szCs w:val="32"/>
        </w:rPr>
        <w:t>对基层党组织建设指导帮助不够。</w:t>
      </w:r>
    </w:p>
    <w:p w14:paraId="03C76A6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整改情况：一是充实党建办力量，每半年调研社区痛点，梳理需求清单明确服务重点。二是打造社区党建品牌，推动党建与基层治理深度融合。三是帮扶“五星支部”薄弱社区，制定精细化建设方案。四是推行党建活动联办，提升党员群众参与度。五是攻坚“两企三新”党建覆盖，建立“党建 + 助企”机制</w:t>
      </w:r>
      <w:r>
        <w:rPr>
          <w:rFonts w:ascii="仿宋_GB2312" w:hAnsi="仿宋" w:eastAsia="仿宋_GB2312" w:cs="仿宋"/>
          <w:sz w:val="32"/>
          <w:szCs w:val="32"/>
        </w:rPr>
        <w:t>。</w:t>
      </w:r>
    </w:p>
    <w:p w14:paraId="506B0E3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42.</w:t>
      </w:r>
      <w:r>
        <w:rPr>
          <w:rFonts w:ascii="仿宋_GB2312" w:hAnsi="仿宋" w:eastAsia="仿宋_GB2312" w:cs="仿宋"/>
          <w:sz w:val="32"/>
          <w:szCs w:val="32"/>
        </w:rPr>
        <w:t>民主评议党员活动“走过场”。</w:t>
      </w:r>
    </w:p>
    <w:p w14:paraId="6D65441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eastAsia="zh-CN"/>
        </w:rPr>
        <w:t>整改情况：一是培训社区支部学习民主评议党员相关要求。二是涉事支部书记写出书面检查。三是排查过往评议情况，列问题清单逐项整改</w:t>
      </w:r>
      <w:r>
        <w:rPr>
          <w:rFonts w:ascii="仿宋_GB2312" w:hAnsi="仿宋" w:eastAsia="仿宋_GB2312" w:cs="仿宋"/>
          <w:sz w:val="32"/>
          <w:szCs w:val="32"/>
        </w:rPr>
        <w:t>。</w:t>
      </w:r>
    </w:p>
    <w:p w14:paraId="61773E7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43.</w:t>
      </w:r>
      <w:r>
        <w:rPr>
          <w:rFonts w:ascii="仿宋_GB2312" w:hAnsi="仿宋" w:eastAsia="仿宋_GB2312" w:cs="仿宋"/>
          <w:sz w:val="32"/>
          <w:szCs w:val="32"/>
        </w:rPr>
        <w:t>发展党员程序不规范。</w:t>
      </w:r>
    </w:p>
    <w:p w14:paraId="3A5F989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整改情况：一是完善党工委发展党员集体决策制度，明确关键程序，严把政治关、质量关。二是上报年度发展党员计划，申请增加计划并完成审批备案，贴合实际需求。三是多形式开展党务培训，提升工作者业务能力，打造高素质队伍</w:t>
      </w:r>
      <w:r>
        <w:rPr>
          <w:rFonts w:ascii="仿宋_GB2312" w:hAnsi="仿宋" w:eastAsia="仿宋_GB2312" w:cs="仿宋"/>
          <w:sz w:val="32"/>
          <w:szCs w:val="32"/>
        </w:rPr>
        <w:t>。</w:t>
      </w:r>
    </w:p>
    <w:p w14:paraId="115CD67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44.</w:t>
      </w:r>
      <w:r>
        <w:rPr>
          <w:rFonts w:ascii="仿宋_GB2312" w:hAnsi="仿宋" w:eastAsia="仿宋_GB2312" w:cs="仿宋"/>
          <w:sz w:val="32"/>
          <w:szCs w:val="32"/>
        </w:rPr>
        <w:t>新发展党员档案资料不规范。</w:t>
      </w:r>
    </w:p>
    <w:p w14:paraId="4A61B0B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整改情况：一是以实例培训支部党务工作者，提升党员发展档案规范化水平。二是修正错漏档案、补齐缺失材料，核查过往档案并限期整改</w:t>
      </w:r>
      <w:r>
        <w:rPr>
          <w:rFonts w:ascii="仿宋_GB2312" w:hAnsi="仿宋" w:eastAsia="仿宋_GB2312" w:cs="仿宋"/>
          <w:sz w:val="32"/>
          <w:szCs w:val="32"/>
        </w:rPr>
        <w:t>。</w:t>
      </w:r>
    </w:p>
    <w:p w14:paraId="7E4E430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45.</w:t>
      </w:r>
      <w:r>
        <w:rPr>
          <w:rFonts w:ascii="仿宋_GB2312" w:hAnsi="仿宋" w:eastAsia="仿宋_GB2312" w:cs="仿宋"/>
          <w:sz w:val="32"/>
          <w:szCs w:val="32"/>
        </w:rPr>
        <w:t>党员教育管理松散。</w:t>
      </w:r>
    </w:p>
    <w:p w14:paraId="707ACF7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eastAsia="zh-CN"/>
        </w:rPr>
        <w:t>整改情况：一是摸底测试并培训社区相关人员，为老党员送教、青年党员推线上学习。二是严格“三会一课”，落实通知、请假及补课制度。三是精准管理流动党员，建台账、专人对接、双向共管</w:t>
      </w:r>
      <w:r>
        <w:rPr>
          <w:rFonts w:ascii="仿宋_GB2312" w:hAnsi="仿宋" w:eastAsia="仿宋_GB2312" w:cs="仿宋"/>
          <w:sz w:val="32"/>
          <w:szCs w:val="32"/>
        </w:rPr>
        <w:t>。</w:t>
      </w:r>
    </w:p>
    <w:p w14:paraId="5ECA99E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val="en-US" w:eastAsia="zh-CN"/>
        </w:rPr>
        <w:t>46.</w:t>
      </w:r>
      <w:r>
        <w:rPr>
          <w:rFonts w:ascii="仿宋_GB2312" w:hAnsi="仿宋" w:eastAsia="仿宋_GB2312" w:cs="仿宋"/>
          <w:sz w:val="32"/>
          <w:szCs w:val="32"/>
        </w:rPr>
        <w:t>党工委政治站位不高。</w:t>
      </w:r>
    </w:p>
    <w:p w14:paraId="627AD7A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eastAsia="zh-CN"/>
        </w:rPr>
        <w:t>整改情况：一是组织学习省市区街道管理体制改革文件精神。二是建立改革任务台账，分解任务明确责任与时限。三是规范机构设置，撤销超编科室</w:t>
      </w:r>
      <w:r>
        <w:rPr>
          <w:rFonts w:hint="eastAsia" w:ascii="仿宋_GB2312" w:hAnsi="仿宋" w:eastAsia="仿宋_GB2312" w:cs="仿宋"/>
          <w:sz w:val="32"/>
          <w:szCs w:val="32"/>
          <w:lang w:val="en-US" w:eastAsia="zh-CN"/>
        </w:rPr>
        <w:t>并进行资源</w:t>
      </w:r>
      <w:r>
        <w:rPr>
          <w:rFonts w:hint="eastAsia" w:ascii="仿宋_GB2312" w:hAnsi="仿宋" w:eastAsia="仿宋_GB2312" w:cs="仿宋"/>
          <w:sz w:val="32"/>
          <w:szCs w:val="32"/>
          <w:lang w:eastAsia="zh-CN"/>
        </w:rPr>
        <w:t>整合，公平选配中层。四是开展业务培训，助力人员适配新岗位</w:t>
      </w:r>
      <w:r>
        <w:rPr>
          <w:rFonts w:ascii="仿宋_GB2312" w:hAnsi="仿宋" w:eastAsia="仿宋_GB2312" w:cs="仿宋"/>
          <w:sz w:val="32"/>
          <w:szCs w:val="32"/>
        </w:rPr>
        <w:t>。</w:t>
      </w:r>
    </w:p>
    <w:p w14:paraId="035F7733">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　</w:t>
      </w:r>
      <w:r>
        <w:rPr>
          <w:rFonts w:hint="eastAsia" w:ascii="仿宋_GB2312" w:hAnsi="仿宋" w:eastAsia="仿宋_GB2312" w:cs="仿宋"/>
          <w:b/>
          <w:bCs/>
          <w:sz w:val="32"/>
          <w:szCs w:val="32"/>
        </w:rPr>
        <w:t>　</w:t>
      </w:r>
      <w:r>
        <w:rPr>
          <w:rFonts w:hint="eastAsia" w:ascii="黑体" w:hAnsi="黑体" w:eastAsia="黑体" w:cs="黑体"/>
          <w:b w:val="0"/>
          <w:bCs w:val="0"/>
          <w:sz w:val="32"/>
          <w:szCs w:val="32"/>
          <w:lang w:val="en-US" w:eastAsia="zh-CN"/>
        </w:rPr>
        <w:t>三、下一步计划</w:t>
      </w:r>
    </w:p>
    <w:p w14:paraId="4DDCE7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rPr>
        <w:t>　　</w:t>
      </w:r>
      <w:r>
        <w:rPr>
          <w:rFonts w:hint="eastAsia" w:ascii="仿宋_GB2312" w:hAnsi="仿宋" w:eastAsia="仿宋_GB2312" w:cs="仿宋"/>
          <w:sz w:val="32"/>
          <w:szCs w:val="32"/>
          <w:lang w:val="en-US" w:eastAsia="zh-CN"/>
        </w:rPr>
        <w:t>1.优化常态长效监督体系。聚焦巩固整改成果，健全长效监督机制。优化监督重点，从过程监督转向成效巩固监督，定期开展“回头看”，核查问题巩固、制度执行及风险防控情况；整合内外监督力量，强化多方联动；建立动态监测预警机制，通过数据分析等手段早发现、早处置，筑牢问题反弹</w:t>
      </w:r>
      <w:bookmarkStart w:id="0" w:name="_GoBack"/>
      <w:bookmarkEnd w:id="0"/>
      <w:r>
        <w:rPr>
          <w:rFonts w:hint="eastAsia" w:ascii="仿宋_GB2312" w:hAnsi="仿宋" w:eastAsia="仿宋_GB2312" w:cs="仿宋"/>
          <w:sz w:val="32"/>
          <w:szCs w:val="32"/>
          <w:lang w:val="en-US" w:eastAsia="zh-CN"/>
        </w:rPr>
        <w:t>“防护网”。</w:t>
      </w:r>
    </w:p>
    <w:p w14:paraId="19399F8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2.深化整改成果转化运用。推动整改成效与街道高质量发展深度融合，梳理提炼整改好经验，转化为可复制的制度规范纳入日常管理，形成“解决问题一规范领域一完善制度”良性循环。将成果转化为推动经济发展、保障民生、提升治理的务实举措，聚焦群众急难愁盼加大投入。定期通报成果、开展满意度测评，根据反馈调整工作，切实提升群众获得感、幸福感、安全感。</w:t>
      </w:r>
    </w:p>
    <w:p w14:paraId="553FB4C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欢迎广大干部群众对巡察整改落实情况进行监督。如有意见建议，请及时向我们反映。联系方式：电话：</w:t>
      </w:r>
      <w:r>
        <w:rPr>
          <w:rFonts w:hint="eastAsia" w:ascii="仿宋_GB2312" w:hAnsi="仿宋" w:eastAsia="仿宋_GB2312" w:cs="仿宋"/>
          <w:sz w:val="32"/>
          <w:szCs w:val="32"/>
          <w:lang w:val="en-US" w:eastAsia="zh-CN"/>
        </w:rPr>
        <w:t>63778019</w:t>
      </w:r>
      <w:r>
        <w:rPr>
          <w:rFonts w:hint="eastAsia" w:ascii="仿宋_GB2312" w:hAnsi="仿宋" w:eastAsia="仿宋_GB2312" w:cs="仿宋"/>
          <w:sz w:val="32"/>
          <w:szCs w:val="32"/>
        </w:rPr>
        <w:t>；邮政信箱</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宛城区仲景街道办事处</w:t>
      </w:r>
      <w:r>
        <w:rPr>
          <w:rFonts w:hint="eastAsia" w:ascii="仿宋_GB2312" w:hAnsi="仿宋" w:eastAsia="仿宋_GB2312" w:cs="仿宋"/>
          <w:sz w:val="32"/>
          <w:szCs w:val="32"/>
        </w:rPr>
        <w:t>，邮政编码：</w:t>
      </w:r>
      <w:r>
        <w:rPr>
          <w:rFonts w:hint="eastAsia" w:ascii="仿宋_GB2312" w:hAnsi="仿宋" w:eastAsia="仿宋_GB2312" w:cs="仿宋"/>
          <w:sz w:val="32"/>
          <w:szCs w:val="32"/>
          <w:lang w:val="en-US" w:eastAsia="zh-CN"/>
        </w:rPr>
        <w:t>473000</w:t>
      </w:r>
      <w:r>
        <w:rPr>
          <w:rFonts w:hint="eastAsia" w:ascii="仿宋_GB2312" w:hAnsi="仿宋" w:eastAsia="仿宋_GB2312" w:cs="仿宋"/>
          <w:sz w:val="32"/>
          <w:szCs w:val="32"/>
        </w:rPr>
        <w:t>；电子邮箱：</w:t>
      </w:r>
      <w:r>
        <w:rPr>
          <w:rFonts w:hint="eastAsia" w:ascii="仿宋_GB2312" w:hAnsi="仿宋" w:eastAsia="仿宋_GB2312" w:cs="仿宋"/>
          <w:sz w:val="32"/>
          <w:szCs w:val="32"/>
          <w:lang w:val="en-US" w:eastAsia="zh-CN"/>
        </w:rPr>
        <w:t>15093005957@163.com</w:t>
      </w:r>
      <w:r>
        <w:rPr>
          <w:rFonts w:hint="eastAsia" w:ascii="仿宋_GB2312" w:hAnsi="仿宋" w:eastAsia="仿宋_GB2312" w:cs="仿宋"/>
          <w:sz w:val="32"/>
          <w:szCs w:val="32"/>
        </w:rPr>
        <w:t>。</w:t>
      </w:r>
    </w:p>
    <w:p w14:paraId="50D9FC7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仿宋_GB2312" w:hAnsi="仿宋" w:eastAsia="仿宋_GB2312" w:cs="仿宋"/>
          <w:sz w:val="32"/>
          <w:szCs w:val="32"/>
        </w:rPr>
      </w:pPr>
      <w:r>
        <w:rPr>
          <w:rFonts w:ascii="仿宋_GB2312" w:hAnsi="仿宋" w:eastAsia="仿宋_GB2312" w:cs="仿宋"/>
          <w:sz w:val="32"/>
          <w:szCs w:val="32"/>
        </w:rPr>
        <w:t xml:space="preserve">          </w:t>
      </w:r>
    </w:p>
    <w:p w14:paraId="5558A54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仿宋_GB2312" w:hAnsi="仿宋" w:eastAsia="仿宋_GB2312" w:cs="仿宋"/>
          <w:sz w:val="32"/>
          <w:szCs w:val="32"/>
        </w:rPr>
      </w:pPr>
      <w:r>
        <w:rPr>
          <w:rFonts w:hint="eastAsia" w:ascii="仿宋_GB2312" w:hAnsi="仿宋" w:eastAsia="仿宋_GB2312" w:cs="仿宋"/>
          <w:sz w:val="32"/>
          <w:szCs w:val="32"/>
        </w:rPr>
        <w:t>　　</w:t>
      </w:r>
      <w:r>
        <w:rPr>
          <w:rFonts w:ascii="仿宋_GB2312" w:hAnsi="仿宋" w:eastAsia="仿宋_GB2312" w:cs="仿宋"/>
          <w:sz w:val="32"/>
          <w:szCs w:val="32"/>
        </w:rPr>
        <w:t xml:space="preserve">                    </w:t>
      </w:r>
      <w:r>
        <w:rPr>
          <w:rFonts w:hint="eastAsia" w:ascii="仿宋_GB2312" w:hAnsi="仿宋" w:eastAsia="仿宋_GB2312" w:cs="仿宋"/>
          <w:sz w:val="32"/>
          <w:szCs w:val="32"/>
          <w:lang w:val="en-US" w:eastAsia="zh-CN"/>
        </w:rPr>
        <w:t>中共南阳市宛城区仲景街道</w:t>
      </w:r>
      <w:r>
        <w:rPr>
          <w:rFonts w:hint="eastAsia" w:ascii="仿宋_GB2312" w:hAnsi="仿宋" w:eastAsia="仿宋_GB2312" w:cs="仿宋"/>
          <w:sz w:val="32"/>
          <w:szCs w:val="32"/>
        </w:rPr>
        <w:t>党</w:t>
      </w:r>
      <w:r>
        <w:rPr>
          <w:rFonts w:hint="eastAsia" w:ascii="仿宋_GB2312" w:hAnsi="仿宋" w:eastAsia="仿宋_GB2312" w:cs="仿宋"/>
          <w:sz w:val="32"/>
          <w:szCs w:val="32"/>
          <w:lang w:val="en-US" w:eastAsia="zh-CN"/>
        </w:rPr>
        <w:t>工</w:t>
      </w:r>
      <w:r>
        <w:rPr>
          <w:rFonts w:hint="eastAsia" w:ascii="仿宋_GB2312" w:hAnsi="仿宋" w:eastAsia="仿宋_GB2312" w:cs="仿宋"/>
          <w:sz w:val="32"/>
          <w:szCs w:val="32"/>
        </w:rPr>
        <w:t>委</w:t>
      </w:r>
    </w:p>
    <w:p w14:paraId="76BD249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ascii="仿宋_GB2312" w:hAnsi="仿宋" w:eastAsia="仿宋_GB2312" w:cs="仿宋"/>
          <w:sz w:val="32"/>
          <w:szCs w:val="32"/>
        </w:rPr>
      </w:pPr>
      <w:r>
        <w:rPr>
          <w:rFonts w:hint="eastAsia" w:ascii="仿宋_GB2312" w:hAnsi="仿宋" w:eastAsia="仿宋_GB2312" w:cs="仿宋"/>
          <w:sz w:val="32"/>
          <w:szCs w:val="32"/>
        </w:rPr>
        <w:t>　　</w:t>
      </w:r>
      <w:r>
        <w:rPr>
          <w:rFonts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2025</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10</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29</w:t>
      </w:r>
      <w:r>
        <w:rPr>
          <w:rFonts w:hint="eastAsia" w:ascii="仿宋_GB2312" w:hAnsi="仿宋" w:eastAsia="仿宋_GB2312" w:cs="仿宋"/>
          <w:sz w:val="32"/>
          <w:szCs w:val="32"/>
        </w:rPr>
        <w:t>日</w:t>
      </w:r>
    </w:p>
    <w:p w14:paraId="4FD14472">
      <w:pPr>
        <w:keepNext w:val="0"/>
        <w:keepLines w:val="0"/>
        <w:pageBreakBefore w:val="0"/>
        <w:widowControl w:val="0"/>
        <w:kinsoku/>
        <w:wordWrap/>
        <w:overflowPunct/>
        <w:topLinePunct w:val="0"/>
        <w:autoSpaceDE w:val="0"/>
        <w:autoSpaceDN w:val="0"/>
        <w:bidi w:val="0"/>
        <w:adjustRightInd/>
        <w:snapToGrid/>
        <w:textAlignment w:val="auto"/>
      </w:pPr>
    </w:p>
    <w:sectPr>
      <w:footerReference r:id="rId3" w:type="default"/>
      <w:pgSz w:w="11907" w:h="16840"/>
      <w:pgMar w:top="2098" w:right="1474" w:bottom="1984" w:left="1587" w:header="851" w:footer="1304"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E86F14-6797-4B6D-B34E-2799D3B1EC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2" w:fontKey="{93F6D5A8-6296-4B9D-AB1F-4E0C4433F1CD}"/>
  </w:font>
  <w:font w:name="仿宋">
    <w:panose1 w:val="02010609060101010101"/>
    <w:charset w:val="86"/>
    <w:family w:val="auto"/>
    <w:pitch w:val="default"/>
    <w:sig w:usb0="800002BF" w:usb1="38CF7CFA" w:usb2="00000016" w:usb3="00000000" w:csb0="00040001" w:csb1="00000000"/>
    <w:embedRegular r:id="rId3" w:fontKey="{9142713D-7188-4D34-BEAF-8B95FBE32DA4}"/>
  </w:font>
  <w:font w:name="方正小标宋简体">
    <w:panose1 w:val="02000000000000000000"/>
    <w:charset w:val="86"/>
    <w:family w:val="auto"/>
    <w:pitch w:val="default"/>
    <w:sig w:usb0="00000001" w:usb1="08000000" w:usb2="00000000" w:usb3="00000000" w:csb0="00040000" w:csb1="00000000"/>
    <w:embedRegular r:id="rId4" w:fontKey="{0D401238-8A47-47F1-B881-E3C4C05804A2}"/>
  </w:font>
  <w:font w:name="方正粗黑宋简体">
    <w:altName w:val="宋体"/>
    <w:panose1 w:val="02000000000000000000"/>
    <w:charset w:val="86"/>
    <w:family w:val="auto"/>
    <w:pitch w:val="default"/>
    <w:sig w:usb0="00000000" w:usb1="00000000" w:usb2="00000012" w:usb3="00000000" w:csb0="00040001" w:csb1="00000000"/>
    <w:embedRegular r:id="rId5" w:fontKey="{6D8808D2-B0D1-4734-AC46-5CB0295611AD}"/>
  </w:font>
  <w:font w:name="方正楷体_GB2312">
    <w:panose1 w:val="02000000000000000000"/>
    <w:charset w:val="86"/>
    <w:family w:val="auto"/>
    <w:pitch w:val="default"/>
    <w:sig w:usb0="A00002BF" w:usb1="184F6CFA" w:usb2="00000012" w:usb3="00000000" w:csb0="00040001" w:csb1="00000000"/>
    <w:embedRegular r:id="rId6" w:fontKey="{215ED0E0-BE6E-41F3-9F1C-E643BFF761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6BFE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60A6BE">
                          <w:pPr>
                            <w:pStyle w:val="6"/>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960A6BE">
                    <w:pPr>
                      <w:pStyle w:val="6"/>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E84458"/>
    <w:multiLevelType w:val="singleLevel"/>
    <w:tmpl w:val="96E84458"/>
    <w:lvl w:ilvl="0" w:tentative="0">
      <w:start w:val="1"/>
      <w:numFmt w:val="taiwaneseCounting"/>
      <w:suff w:val="nothing"/>
      <w:lvlText w:val="（%1）"/>
      <w:lvlJc w:val="left"/>
      <w:pPr>
        <w:ind w:left="0" w:firstLine="640"/>
      </w:pPr>
      <w:rPr>
        <w:rFonts w:hint="eastAsia"/>
      </w:rPr>
    </w:lvl>
  </w:abstractNum>
  <w:abstractNum w:abstractNumId="1">
    <w:nsid w:val="F3E5870C"/>
    <w:multiLevelType w:val="singleLevel"/>
    <w:tmpl w:val="F3E5870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927DD"/>
    <w:rsid w:val="0D9025C6"/>
    <w:rsid w:val="0FD2028B"/>
    <w:rsid w:val="186D1565"/>
    <w:rsid w:val="227930C6"/>
    <w:rsid w:val="33F91FE2"/>
    <w:rsid w:val="51072725"/>
    <w:rsid w:val="536D45F9"/>
    <w:rsid w:val="571A007E"/>
    <w:rsid w:val="57DD16F7"/>
    <w:rsid w:val="5D264DE6"/>
    <w:rsid w:val="66CE08AC"/>
    <w:rsid w:val="6FDA6732"/>
    <w:rsid w:val="75EA4CE0"/>
    <w:rsid w:val="76296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next w:val="1"/>
    <w:unhideWhenUsed/>
    <w:qFormat/>
    <w:uiPriority w:val="0"/>
    <w:pPr>
      <w:keepNext/>
      <w:keepLines/>
      <w:spacing w:beforeLines="0" w:beforeAutospacing="0" w:afterLines="0" w:afterAutospacing="0" w:line="560" w:lineRule="exact"/>
      <w:ind w:firstLine="894" w:firstLineChars="200"/>
      <w:outlineLvl w:val="1"/>
    </w:pPr>
    <w:rPr>
      <w:rFonts w:ascii="楷体_GB2312" w:hAnsi="楷体_GB2312" w:eastAsia="楷体_GB2312" w:cs="楷体_GB2312"/>
      <w:sz w:val="32"/>
      <w:szCs w:val="32"/>
    </w:rPr>
  </w:style>
  <w:style w:type="paragraph" w:styleId="3">
    <w:name w:val="heading 3"/>
    <w:next w:val="1"/>
    <w:unhideWhenUsed/>
    <w:qFormat/>
    <w:uiPriority w:val="0"/>
    <w:pPr>
      <w:keepNext/>
      <w:keepLines/>
      <w:spacing w:beforeLines="0" w:beforeAutospacing="0" w:afterLines="0" w:afterAutospacing="0" w:line="560" w:lineRule="exact"/>
      <w:ind w:firstLine="894" w:firstLineChars="200"/>
      <w:outlineLvl w:val="2"/>
    </w:pPr>
    <w:rPr>
      <w:rFonts w:ascii="仿宋_GB2312" w:hAnsi="仿宋_GB2312" w:eastAsia="仿宋_GB2312" w:cs="仿宋_GB2312"/>
      <w:sz w:val="32"/>
      <w:szCs w:val="32"/>
    </w:rPr>
  </w:style>
  <w:style w:type="paragraph" w:styleId="4">
    <w:name w:val="heading 4"/>
    <w:next w:val="1"/>
    <w:link w:val="11"/>
    <w:semiHidden/>
    <w:unhideWhenUsed/>
    <w:qFormat/>
    <w:uiPriority w:val="0"/>
    <w:pPr>
      <w:keepNext/>
      <w:keepLines/>
      <w:spacing w:beforeLines="0" w:beforeAutospacing="0" w:afterLines="0" w:afterAutospacing="0" w:line="560" w:lineRule="exact"/>
      <w:ind w:firstLine="894" w:firstLineChars="200"/>
      <w:outlineLvl w:val="3"/>
    </w:pPr>
    <w:rPr>
      <w:rFonts w:ascii="仿宋_GB2312" w:hAnsi="仿宋_GB2312" w:eastAsia="仿宋_GB2312" w:cs="仿宋_GB2312"/>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qFormat/>
    <w:uiPriority w:val="0"/>
    <w:pPr>
      <w:spacing w:line="560" w:lineRule="exact"/>
      <w:ind w:firstLine="630" w:firstLineChars="200"/>
      <w:jc w:val="both"/>
    </w:pPr>
    <w:rPr>
      <w:rFonts w:ascii="仿宋_GB2312" w:hAnsi="仿宋_GB2312" w:eastAsia="仿宋_GB2312" w:cs="仿宋_GB2312"/>
      <w:spacing w:val="-6"/>
      <w:sz w:val="32"/>
      <w:szCs w:val="32"/>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semiHidden/>
    <w:qFormat/>
    <w:uiPriority w:val="99"/>
    <w:pPr>
      <w:spacing w:before="100" w:beforeAutospacing="1" w:after="100" w:afterAutospacing="1"/>
      <w:jc w:val="left"/>
    </w:pPr>
    <w:rPr>
      <w:rFonts w:ascii="Calibri" w:hAnsi="Calibri"/>
      <w:kern w:val="0"/>
      <w:sz w:val="24"/>
      <w:szCs w:val="24"/>
    </w:rPr>
  </w:style>
  <w:style w:type="character" w:customStyle="1" w:styleId="11">
    <w:name w:val="标题 4 Char"/>
    <w:link w:val="4"/>
    <w:qFormat/>
    <w:uiPriority w:val="0"/>
    <w:rPr>
      <w:rFonts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8297</Words>
  <Characters>8465</Characters>
  <Lines>0</Lines>
  <Paragraphs>0</Paragraphs>
  <TotalTime>40</TotalTime>
  <ScaleCrop>false</ScaleCrop>
  <LinksUpToDate>false</LinksUpToDate>
  <CharactersWithSpaces>8599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2025-10-28T07:30:00Z</dcterms:created>
  <dc:creator>ypf</dc:creator>
  <cp:lastModifiedBy>afei</cp:lastModifiedBy>
  <dcterms:modified xsi:type="dcterms:W3CDTF">2025-12-15T02:38:35Z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eyJoZGlkIjoiMDM0NjM4YWY0OGNkOTlmODA1ZDdlYTlmNjg2ODRmYjAiLCJ1c2VySWQiOiIzNTg5NjM5MTcifQ==</vt:lpwstr>
  </property>
  <property fmtid="{D5CDD505-2E9C-101B-9397-08002B2CF9AE}" pid="4" name="ICV">
    <vt:lpwstr>845662D5C1724D14B6487E59438C2C6C_12</vt:lpwstr>
  </property>
</Properties>
</file>